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постановления администрации Ракитянского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 утверждении порядка установления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 поддержки отдельным категориям граждан при организации платных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(услуг) учреждениями культуры Ракитянского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</w:t>
            </w:r>
            <w:r/>
            <w:r>
              <w:rPr>
                <w:b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3015" w:leader="none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МКУ «Управление </w:t>
            </w:r>
            <w:r>
              <w:rPr>
                <w:i/>
                <w:color w:val="000000"/>
                <w:sz w:val="24"/>
                <w:szCs w:val="24"/>
              </w:rPr>
              <w:t xml:space="preserve">культуры</w:t>
            </w:r>
            <w:r>
              <w:rPr>
                <w:i/>
                <w:color w:val="000000"/>
                <w:sz w:val="24"/>
                <w:szCs w:val="24"/>
              </w:rPr>
              <w:t xml:space="preserve"> Ракитянского района»</w:t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</w:t>
            </w:r>
            <w:bookmarkStart w:id="0" w:name="_GoBack"/>
            <w:r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: отсутствуют.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4</cp:revision>
  <dcterms:created xsi:type="dcterms:W3CDTF">2023-04-19T12:46:00Z</dcterms:created>
  <dcterms:modified xsi:type="dcterms:W3CDTF">2024-10-07T06:30:48Z</dcterms:modified>
</cp:coreProperties>
</file>