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Приложение № 1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к муниципальной программе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«Развитие информационного общества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в</w:t>
      </w:r>
      <w:r>
        <w:rPr>
          <w:rFonts w:ascii="Times New Roman" w:hAnsi="Times New Roman"/>
          <w:b/>
          <w:sz w:val="28"/>
          <w:szCs w:val="28"/>
        </w:rPr>
        <w:t xml:space="preserve"> Ракитянском районе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Система основных мероприятий и показателей муниципальной программы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Развитие информационного общества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Ракитянском районе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этап с 2015-2020 год</w:t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941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601"/>
        <w:gridCol w:w="3100"/>
        <w:gridCol w:w="900"/>
        <w:gridCol w:w="900"/>
        <w:gridCol w:w="1980"/>
        <w:gridCol w:w="1768"/>
        <w:gridCol w:w="2372"/>
        <w:gridCol w:w="720"/>
        <w:gridCol w:w="720"/>
        <w:gridCol w:w="720"/>
        <w:gridCol w:w="720"/>
        <w:gridCol w:w="720"/>
        <w:gridCol w:w="720"/>
      </w:tblGrid>
      <w:tr>
        <w:tblPrEx/>
        <w:trPr>
          <w:cantSplit/>
        </w:trPr>
        <w:tc>
          <w:tcPr>
            <w:tcW w:w="601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подпрограмм, мероприятий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80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исполнитель (соисполнитель, участник), ответственный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 реализацию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Общий объем финансирования мероприятия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 срок реализации программы, тыс. рублей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показателя,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измерения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6"/>
            <w:tcW w:w="432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показателя конечного и непосредственного результата по годам реализации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601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начало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завер-шение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601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– «Развитие информационного общества в</w:t>
            </w:r>
            <w:r>
              <w:rPr>
                <w:rFonts w:ascii="Times New Roman" w:hAnsi="Times New Roman"/>
              </w:rPr>
              <w:t xml:space="preserve"> Ракитянском районе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Цель:  «Получение гражданами и организациями преимуществ от применения информационных и телекоммуникационных технологий»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ind w:left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751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</w:t>
            </w:r>
            <w:r>
              <w:rPr>
                <w:sz w:val="22"/>
                <w:szCs w:val="22"/>
              </w:rPr>
              <w:t xml:space="preserve">ля оснащения автоматизированных рабочих мест и серверов в администрации района средствами информатизации,  лицензионным программным обеспечением, средствами связи и доступом к сетям передачи данных, соответствующими современным инновационным требованиям, 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601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ind w:left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потребителей, удовлетворенных качеством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</w:rPr>
              <w:t xml:space="preserve">предоставления государственных и муниципальных услуг на площадке МФЦ, - 90% к 2018 г.</w:t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884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</w:r>
            <w:r>
              <w:rPr>
                <w:rFonts w:eastAsia="Times New Roman"/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601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31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9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9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98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7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ind w:left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граждан, вовлеченных в работу ТОС от общего числа проживающих в районе, до 41 % к 2020 году</w:t>
            </w:r>
            <w:r>
              <w:rPr>
                <w:rFonts w:ascii="Times New Roman" w:hAnsi="Times New Roman"/>
              </w:rPr>
            </w:r>
          </w:p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601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1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информационного общества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828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</w:t>
            </w:r>
            <w:r>
              <w:rPr>
                <w:sz w:val="22"/>
                <w:szCs w:val="22"/>
              </w:rPr>
              <w:t xml:space="preserve">ля оснащения автоматизированных рабочих мест и серверов в администрации района средствами информатизации,  лицензионным программным обеспечением, средствами связи и доступом к сетям передачи данных, соответствующими современным инновационным требованиям, %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  <w:trHeight w:val="1937"/>
        </w:trPr>
        <w:tc>
          <w:tcPr>
            <w:tcW w:w="601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31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9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9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98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768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обращений, поступивших от граждан через сайт органов местного самоуправления района, от общего числа обращений, %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601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31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9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90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98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768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автоматизированных рабочих мест, на которых проведены мероприятия по защите информации 1 класса по уровню конфиденциальности, %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предоставления государственных и муниципальных услуг с использованием современных информационных и телекоммуникационных технологий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229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</w:t>
            </w:r>
            <w:r>
              <w:rPr>
                <w:sz w:val="22"/>
                <w:szCs w:val="22"/>
              </w:rPr>
              <w:t xml:space="preserve">ля оснащения автоматизированных рабочих мест и серверов в администрации района средствами информатизации,  лицензионным программным обеспечением, средствами связи и доступом к сетям передачи данных, соответствующими современным инновационным требованиям, 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Модернизация и развитие инфраструктуры связи, программного и технического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комплекса корпоративной сети администрации Ракитянского района</w:t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  <w:t xml:space="preserve"> </w:t>
            </w:r>
            <w:r>
              <w:rPr>
                <w:rFonts w:ascii="Times New Roman" w:hAnsi="Times New Roman"/>
              </w:rPr>
              <w:t xml:space="preserve">474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</w:t>
            </w:r>
            <w:r>
              <w:rPr>
                <w:sz w:val="22"/>
                <w:szCs w:val="22"/>
              </w:rPr>
              <w:t xml:space="preserve">ля оснащения автоматизированных рабочих мест 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</w:rPr>
              <w:t xml:space="preserve">серверов в администрации района средствами информатизации,  лицензионным программным обеспечением, средствами связи и доступом к сетям передачи данных, соответствующими современным инновационным требованиям, %</w:t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Сопровождение Региональной информационно-аналитической системы на территории Ракитянского района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</w:t>
            </w: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обращений, поступивших от граждан через сайт органов местного самоуправления района, от общего числа обращений, 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информационной безопасности в информационном обществе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автоматизированных рабочих мест, на которых проведены мероприятия по защите информации 1 класса по уровню конфиденциальности, 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Модернизация и развитие инфраструктуры связи, программного и технического комплекса корпоративной сети </w:t>
            </w:r>
            <w:r>
              <w:rPr>
                <w:rFonts w:ascii="Times New Roman" w:hAnsi="Times New Roman"/>
              </w:rPr>
              <w:t xml:space="preserve">управления финансов и экономики </w:t>
            </w:r>
            <w:r>
              <w:rPr>
                <w:rFonts w:ascii="Times New Roman" w:hAnsi="Times New Roman"/>
              </w:rPr>
              <w:t xml:space="preserve">администрации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  <w:t xml:space="preserve"> </w:t>
            </w:r>
            <w:r>
              <w:rPr>
                <w:rFonts w:ascii="Times New Roman" w:hAnsi="Times New Roman"/>
              </w:rPr>
              <w:t xml:space="preserve">595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</w:t>
            </w:r>
            <w:r>
              <w:rPr>
                <w:sz w:val="22"/>
                <w:szCs w:val="22"/>
              </w:rPr>
              <w:t xml:space="preserve">ля оснащения автоматизированных рабочих мест и серверов в администрации района средствами информатизации,  лицензионным программным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</w:rPr>
              <w:t xml:space="preserve">обеспечением, средствами связи и доступом к сетям передачи данных, соответствующими современным инновационным требованиям, %</w:t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 2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качества и доступности предоставления государственных и муниципальных услуг 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потребителей, удовлетворенных качеством предоставления государственных и муниципальных услуг на площадке МФЦ, - 90% к 2018 г.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</w:r>
            <w:r>
              <w:rPr>
                <w:rFonts w:eastAsia="Times New Roman"/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32 995,0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потребителей, удовлетворенных качеством предоставления государственных и муниципальных усл</w:t>
            </w:r>
            <w:r>
              <w:rPr>
                <w:sz w:val="22"/>
                <w:szCs w:val="22"/>
              </w:rPr>
              <w:t xml:space="preserve">уг на площадке МФЦ, - 90% к 2018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</w:r>
            <w:r>
              <w:rPr>
                <w:rFonts w:eastAsia="Times New Roman"/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3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общественного самоуправления на территории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928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граждан, вовлеченных в работу ТОС от общего числа проживающих в районе, до 41 % к 2020 году</w:t>
            </w:r>
            <w:r>
              <w:rPr>
                <w:rFonts w:ascii="Times New Roman" w:hAnsi="Times New Roman"/>
              </w:rPr>
            </w:r>
          </w:p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благоприятных условий для развития 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осуществления территориального общественного </w:t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самоуправления  в Ракитянском районе</w:t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</w:t>
            </w: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граждан, вовлеченных в работу ТОС от общего числа проживающих в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районе, до 41 % к 2020 году</w:t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93"/>
              <w:ind w:left="0"/>
              <w:jc w:val="both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Количество ТОС зарегистрированных в качестве юридического лица, до 1 единицы к 2020 году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893"/>
              <w:ind w:left="0"/>
              <w:jc w:val="both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Активизация деятельности  уличных</w:t>
            </w:r>
            <w:r>
              <w:rPr>
                <w:rFonts w:ascii="Times New Roman" w:hAnsi="Times New Roman"/>
              </w:rPr>
              <w:t xml:space="preserve"> и домовых</w:t>
            </w:r>
            <w:r>
              <w:rPr>
                <w:rFonts w:ascii="Times New Roman" w:hAnsi="Times New Roman"/>
              </w:rPr>
              <w:t xml:space="preserve"> комитетов и старост</w:t>
            </w:r>
            <w:r>
              <w:rPr>
                <w:rFonts w:ascii="Times New Roman" w:hAnsi="Times New Roman"/>
              </w:rPr>
              <w:t xml:space="preserve"> в Ракитянском районе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количес</w:t>
            </w:r>
            <w:r>
              <w:rPr>
                <w:sz w:val="22"/>
                <w:szCs w:val="22"/>
              </w:rPr>
              <w:t xml:space="preserve">тва уличных комитетов, старост</w:t>
            </w:r>
            <w:r>
              <w:rPr>
                <w:sz w:val="22"/>
                <w:szCs w:val="22"/>
              </w:rPr>
              <w:t xml:space="preserve"> вовлеченных в участие в конкурсах различного уровня, до 15 % к 2020 году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деятельности Советов общественности в Ракитянском районе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количества рассмотренных дел на Советах общественности, до 52 дел к 2020 году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31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механизмов  вовлечения некоммерческих общественных организаций в реализацию социальных и общественно значимых проектов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372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доли некоммерческих общественных организаций, вовле</w:t>
            </w:r>
            <w:r>
              <w:rPr>
                <w:sz w:val="22"/>
                <w:szCs w:val="22"/>
              </w:rPr>
              <w:t xml:space="preserve">ченных в участие в конкурсах и проектах, до 35% к 2020 году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8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88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отдела общего контроля 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взаимодействия с муниципальными образованиями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С.Е. Заболотняя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right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 2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к муниципальной программе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«Развитие информационного общества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в Раки</w:t>
      </w:r>
      <w:r>
        <w:rPr>
          <w:rFonts w:ascii="Times New Roman" w:hAnsi="Times New Roman"/>
          <w:b/>
          <w:sz w:val="28"/>
          <w:szCs w:val="28"/>
        </w:rPr>
        <w:t xml:space="preserve">тянском районе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Система основных мероприятий и показателей муниципальной программы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информационного общества в Раки</w:t>
      </w:r>
      <w:r>
        <w:rPr>
          <w:rFonts w:ascii="Times New Roman" w:hAnsi="Times New Roman"/>
          <w:b/>
          <w:sz w:val="28"/>
          <w:szCs w:val="28"/>
        </w:rPr>
        <w:t xml:space="preserve">тянском районе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/>
          <w:b/>
          <w:sz w:val="28"/>
          <w:szCs w:val="28"/>
        </w:rPr>
        <w:t xml:space="preserve">этап с 2021-2026 год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944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64"/>
        <w:gridCol w:w="2911"/>
        <w:gridCol w:w="845"/>
        <w:gridCol w:w="845"/>
        <w:gridCol w:w="1859"/>
        <w:gridCol w:w="1660"/>
        <w:gridCol w:w="2784"/>
        <w:gridCol w:w="709"/>
        <w:gridCol w:w="709"/>
        <w:gridCol w:w="709"/>
        <w:gridCol w:w="701"/>
        <w:gridCol w:w="802"/>
        <w:gridCol w:w="845"/>
      </w:tblGrid>
      <w:tr>
        <w:tblPrEx/>
        <w:trPr>
          <w:cantSplit/>
        </w:trPr>
        <w:tc>
          <w:tcPr>
            <w:tcW w:w="56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муниципальной программы, подпрограмм, мероприятий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69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исполнитель (соисполнитель, участник), ответственный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 реализацию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Общий объем финансирования мероприятия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 срок реализации программы, тыс. рублей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показателя,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измерения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6"/>
            <w:tcW w:w="4474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показателя конечного и непосредственного результата по годам реализации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564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начало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завер-шение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– «Развитие информационного общества в Раки</w:t>
            </w:r>
            <w:r>
              <w:rPr>
                <w:rFonts w:ascii="Times New Roman" w:hAnsi="Times New Roman"/>
              </w:rPr>
              <w:t xml:space="preserve">тянском районе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Цель:  «Получение гражданами и организациями преимуществ от применения информационных и телекоммуникационных технологий»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ind w:left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47 065,1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оснащения а</w:t>
            </w:r>
            <w:r>
              <w:rPr>
                <w:sz w:val="22"/>
                <w:szCs w:val="22"/>
              </w:rPr>
              <w:t xml:space="preserve">втоматизированных рабочих мест и серверов в администрации района средствами информатизации,  лицензионным программным обеспечением, средствами связи и доступом к сетям передачи данных, соответствующими современным инновационным требованиям, 98% к 2026 году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564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911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845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845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859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660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ind w:left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обращений, поступивших от граждан через сайт органов местного самоуправления района, от общего числа обращений, 24% к 2022 году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применяется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применяется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r/>
            <w:r/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</w:pPr>
            <w:r>
              <w:rPr>
                <w:rFonts w:ascii="Times New Roman" w:hAnsi="Times New Roman"/>
              </w:rPr>
              <w:t xml:space="preserve">Не применяется</w:t>
            </w:r>
            <w:r>
              <w:rPr>
                <w:rFonts w:ascii="Times New Roman" w:hAnsi="Times New Roman"/>
              </w:rPr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применяется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r/>
            <w:r/>
          </w:p>
        </w:tc>
      </w:tr>
      <w:tr>
        <w:tblPrEx/>
        <w:trPr>
          <w:cantSplit/>
        </w:trPr>
        <w:tc>
          <w:tcPr>
            <w:tcW w:w="564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911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845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845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859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660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ind w:left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автоматизированных рабочих мест, на которых проведены мероприятия по защите информации , 90% к 2026 году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1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информационного общества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42 099,6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оснащения а</w:t>
            </w:r>
            <w:r>
              <w:rPr>
                <w:sz w:val="22"/>
                <w:szCs w:val="22"/>
              </w:rPr>
              <w:t xml:space="preserve">втоматизированных рабочих мест и серверов в администрации района средствами информатизации,  лицензионным программным обеспечением, средствами связи и доступом к сетям передачи данных, соответствующими современным инновационным требованиям, 98% к 2026 году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564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911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845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845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859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66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обращений, поступивших от граждан через сайт органов местного самоуправления района, от общего числа обращений, 24% к 2022 году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применяется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применяется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</w:pPr>
            <w:r>
              <w:rPr>
                <w:rFonts w:ascii="Times New Roman" w:hAnsi="Times New Roman"/>
              </w:rPr>
              <w:t xml:space="preserve">Не применяется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применяется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cantSplit/>
        </w:trPr>
        <w:tc>
          <w:tcPr>
            <w:tcW w:w="564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911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845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845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859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166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автоматизированных рабочих мест, на которых проведены мероприятия по защите информации, 90% к 2026 году</w:t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предоставления государственных и муниципальных услуг с использованием современных информационных и телекоммуникационных технологий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45,7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</w:t>
            </w:r>
            <w:r>
              <w:rPr>
                <w:sz w:val="22"/>
                <w:szCs w:val="22"/>
              </w:rPr>
              <w:t xml:space="preserve">оля оснащения автоматизированных рабочих мест и серверов в администрации района средствами информатизации,  лицензионным программным обеспечением, средствами связи и доступом к сетям передачи данных, соответствующими современным инновационным требованиям, </w:t>
            </w:r>
            <w:r>
              <w:rPr>
                <w:sz w:val="22"/>
                <w:szCs w:val="22"/>
              </w:rPr>
              <w:t xml:space="preserve">98</w:t>
            </w:r>
            <w:r>
              <w:rPr>
                <w:sz w:val="22"/>
                <w:szCs w:val="22"/>
              </w:rPr>
              <w:t xml:space="preserve">%</w:t>
            </w:r>
            <w:r>
              <w:rPr>
                <w:sz w:val="22"/>
                <w:szCs w:val="22"/>
              </w:rPr>
              <w:t xml:space="preserve"> к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Модернизация и развитие инфраструктуры связи, программного и технического комплекса корпоративной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сети администрации Ракитянского района</w:t>
            </w:r>
            <w:r>
              <w:rPr>
                <w:rFonts w:ascii="Times New Roman" w:hAnsi="Times New Roman"/>
                <w:highlight w:val="none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40 683,6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оснащения а</w:t>
            </w:r>
            <w:r>
              <w:rPr>
                <w:sz w:val="22"/>
                <w:szCs w:val="22"/>
              </w:rPr>
              <w:t xml:space="preserve">втоматизированных рабочих мест и серверов в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</w:rPr>
              <w:t xml:space="preserve">администрации района средствами информатизации,  лицензионным программным обеспечением, средствами связи и доступом к сетям передачи данных, соответствующими современным инновационным требованиям, 98% к 2026 году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Сопровождение Региональной информационно-аналитической системы на территории Ракитянского района  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15,9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обращений, поступивших от граждан через сайт органов местного самоуправления района, от общего числа обращений, </w:t>
            </w:r>
            <w:r>
              <w:rPr>
                <w:sz w:val="22"/>
                <w:szCs w:val="22"/>
              </w:rPr>
              <w:t xml:space="preserve">24%</w:t>
            </w:r>
            <w:r>
              <w:rPr>
                <w:sz w:val="22"/>
                <w:szCs w:val="22"/>
              </w:rPr>
              <w:t xml:space="preserve"> к 2022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применяется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Не применяется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Не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применяется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применяется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информационной безопасности в информационном обществе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1354,4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автоматизированных рабочих мест, на которых проведены мероприятия по защите информации , </w:t>
            </w:r>
            <w:r>
              <w:rPr>
                <w:sz w:val="22"/>
                <w:szCs w:val="22"/>
              </w:rPr>
              <w:t xml:space="preserve">90</w:t>
            </w:r>
            <w:r>
              <w:rPr>
                <w:sz w:val="22"/>
                <w:szCs w:val="22"/>
              </w:rPr>
              <w:t xml:space="preserve">%</w:t>
            </w:r>
            <w:r>
              <w:rPr>
                <w:sz w:val="22"/>
                <w:szCs w:val="22"/>
              </w:rPr>
              <w:t xml:space="preserve"> к 2026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3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общественного самоуправления на территории Ракит</w:t>
            </w:r>
            <w:r>
              <w:rPr>
                <w:rFonts w:ascii="Times New Roman" w:hAnsi="Times New Roman"/>
              </w:rPr>
              <w:t xml:space="preserve">янского района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4 965,5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Увеличение количества граждан, вовлеченных в работу ТОС от общего числа проживающих в районе, до 50 % к 2026 году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благоприятных условий для развития 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осуществления территориального общественного 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самоуправления  в Ракитянском районе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4 726,8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Увеличение количества граждан, вовлеченных в работу ТОС от общего числа проживающих в районе, до 50 % к 2026 году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91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</w:r>
            <w:r>
              <w:rPr>
                <w:rFonts w:ascii="Times New Roman" w:hAnsi="Times New Roman"/>
                <w:szCs w:val="28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spacing w:line="240" w:lineRule="auto"/>
              <w:rPr>
                <w:sz w:val="22"/>
                <w:lang w:val="ru-RU"/>
              </w:rPr>
            </w:pPr>
            <w:r>
              <w:rPr>
                <w:sz w:val="22"/>
              </w:rPr>
              <w:t xml:space="preserve">Количество ТОС зарегистрированных в качестве юридического лица, до 10 единиц к 2026 году</w:t>
            </w:r>
            <w:r>
              <w:rPr>
                <w:sz w:val="22"/>
                <w:lang w:val="ru-RU"/>
              </w:rPr>
            </w:r>
            <w:r>
              <w:rPr>
                <w:sz w:val="22"/>
                <w:lang w:val="ru-RU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Активизация деятельности  уличных </w:t>
            </w:r>
            <w:r>
              <w:rPr>
                <w:rFonts w:ascii="Times New Roman" w:hAnsi="Times New Roman"/>
              </w:rPr>
              <w:t xml:space="preserve">и домовых </w:t>
            </w:r>
            <w:r>
              <w:rPr>
                <w:rFonts w:ascii="Times New Roman" w:hAnsi="Times New Roman"/>
              </w:rPr>
              <w:t xml:space="preserve">комитетов и старост</w:t>
            </w:r>
            <w:r>
              <w:rPr>
                <w:rFonts w:ascii="Times New Roman" w:hAnsi="Times New Roman"/>
              </w:rPr>
              <w:t xml:space="preserve"> в Ракитянском районе</w:t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120,7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Увеличение количес</w:t>
            </w:r>
            <w:r>
              <w:rPr>
                <w:rFonts w:ascii="Times New Roman" w:hAnsi="Times New Roman"/>
              </w:rPr>
              <w:t xml:space="preserve">тва уличных комитетов, старост</w:t>
            </w:r>
            <w:r>
              <w:rPr>
                <w:rFonts w:ascii="Times New Roman" w:hAnsi="Times New Roman"/>
              </w:rPr>
              <w:t xml:space="preserve"> вовлеченных в участие в конкурсах различного уровня, до 40 % к 2026 году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деятельности Советов общественности в Ракитянском районе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рассмотренных дел на Советах общественности, до 182 дела к 2026 году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182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8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911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механизмов  вовлечения некоммерческих общественных организаций в реализацию социальных и общественно значимых проектов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59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Ракитянского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660" w:type="dxa"/>
            <w:vAlign w:val="top"/>
            <w:textDirection w:val="lrTb"/>
            <w:noWrap w:val="false"/>
          </w:tcPr>
          <w:p>
            <w:pPr>
              <w:pStyle w:val="88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784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доли некоммерческих общественных организаций, вовлеченных в участие в конкурсах и проектах, до 50% к 2026 году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1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45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80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  <w:r>
        <w:rPr>
          <w:rFonts w:ascii="Times New Roman" w:hAnsi="Times New Roman"/>
          <w:b/>
          <w:color w:val="ff0000"/>
          <w:sz w:val="26"/>
          <w:szCs w:val="26"/>
        </w:rPr>
      </w:r>
      <w:r>
        <w:rPr>
          <w:rFonts w:ascii="Times New Roman" w:hAnsi="Times New Roman"/>
          <w:b/>
          <w:color w:val="ff0000"/>
          <w:sz w:val="26"/>
          <w:szCs w:val="26"/>
        </w:rPr>
      </w:r>
    </w:p>
    <w:p>
      <w:pPr>
        <w:pStyle w:val="88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отдела общего контроля 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взаимодействия с муниципальными образованиями                                                                                               С.Е. Заболотняя</w:t>
      </w:r>
      <w:r>
        <w:rPr>
          <w:rFonts w:ascii="Times New Roman" w:hAnsi="Times New Roman"/>
          <w:b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6838" w:h="11906" w:orient="landscape"/>
      <w:pgMar w:top="149" w:right="720" w:bottom="720" w:left="720" w:header="708" w:footer="708" w:gutter="0"/>
      <w:pgNumType w:start="4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Sans UI">
    <w:panose1 w:val="02000603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jc w:val="center"/>
      <w:rPr>
        <w:rStyle w:val="889"/>
      </w:rPr>
      <w:framePr w:h="1080" w:wrap="around" w:vAnchor="text" w:hAnchor="margin" w:xAlign="center" w:y="-17" w:hRule="exact"/>
    </w:pPr>
    <w:r>
      <w:rPr>
        <w:rStyle w:val="889"/>
      </w:rPr>
      <w:fldChar w:fldCharType="begin"/>
    </w:r>
    <w:r>
      <w:rPr>
        <w:rStyle w:val="889"/>
      </w:rPr>
      <w:instrText xml:space="preserve">PAGE  </w:instrText>
    </w:r>
    <w:r>
      <w:rPr>
        <w:rStyle w:val="889"/>
      </w:rPr>
      <w:fldChar w:fldCharType="separate"/>
    </w:r>
    <w:r>
      <w:rPr>
        <w:rStyle w:val="889"/>
      </w:rPr>
      <w:t xml:space="preserve">53</w:t>
    </w:r>
    <w:r>
      <w:rPr>
        <w:rStyle w:val="889"/>
      </w:rPr>
      <w:fldChar w:fldCharType="end"/>
    </w:r>
    <w:r>
      <w:rPr>
        <w:rStyle w:val="889"/>
      </w:rPr>
    </w:r>
    <w:r>
      <w:rPr>
        <w:rStyle w:val="889"/>
      </w:rPr>
    </w:r>
  </w:p>
  <w:p>
    <w:pPr>
      <w:pStyle w:val="890"/>
      <w:jc w:val="center"/>
      <w:rPr>
        <w:rStyle w:val="889"/>
      </w:rPr>
      <w:framePr w:h="1080" w:wrap="around" w:vAnchor="text" w:hAnchor="margin" w:xAlign="center" w:y="-17" w:hRule="exact"/>
    </w:pPr>
    <w:r>
      <w:rPr>
        <w:rStyle w:val="889"/>
      </w:rPr>
    </w:r>
    <w:r>
      <w:rPr>
        <w:rStyle w:val="889"/>
      </w:rPr>
    </w:r>
  </w:p>
  <w:p>
    <w:pPr>
      <w:pStyle w:val="890"/>
      <w:rPr>
        <w:rStyle w:val="889"/>
      </w:rPr>
      <w:framePr w:h="1080" w:wrap="around" w:vAnchor="text" w:hAnchor="margin" w:xAlign="center" w:y="-17" w:hRule="exact"/>
    </w:pPr>
    <w:r>
      <w:rPr>
        <w:rStyle w:val="889"/>
      </w:rPr>
    </w:r>
    <w:r>
      <w:rPr>
        <w:rStyle w:val="889"/>
      </w:rPr>
    </w:r>
  </w:p>
  <w:p>
    <w:pPr>
      <w:pStyle w:val="8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89"/>
      </w:rPr>
      <w:framePr w:wrap="around" w:vAnchor="text" w:hAnchor="margin" w:xAlign="center" w:y="1"/>
    </w:pPr>
    <w:r>
      <w:rPr>
        <w:rStyle w:val="889"/>
      </w:rPr>
      <w:fldChar w:fldCharType="begin"/>
    </w:r>
    <w:r>
      <w:rPr>
        <w:rStyle w:val="889"/>
      </w:rPr>
      <w:instrText xml:space="preserve">PAGE  </w:instrText>
    </w:r>
    <w:r>
      <w:rPr>
        <w:rStyle w:val="889"/>
      </w:rPr>
      <w:fldChar w:fldCharType="end"/>
    </w:r>
    <w:r>
      <w:rPr>
        <w:rStyle w:val="889"/>
      </w:rPr>
    </w:r>
    <w:r>
      <w:rPr>
        <w:rStyle w:val="889"/>
      </w:rPr>
    </w:r>
  </w:p>
  <w:p>
    <w:pPr>
      <w:pStyle w:val="8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2"/>
      <w:numFmt w:val="decimal"/>
      <w:isLgl w:val="false"/>
      <w:suff w:val="tab"/>
      <w:lvlText w:val="%1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61"/>
      <w:numFmt w:val="decimal"/>
      <w:isLgl w:val="false"/>
      <w:suff w:val="tab"/>
      <w:lvlText w:val="%1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basedOn w:val="880"/>
    <w:next w:val="880"/>
    <w:link w:val="70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4">
    <w:name w:val="Heading 1 Char"/>
    <w:link w:val="703"/>
    <w:uiPriority w:val="9"/>
    <w:rPr>
      <w:rFonts w:ascii="Arial" w:hAnsi="Arial" w:eastAsia="Arial" w:cs="Arial"/>
      <w:sz w:val="40"/>
      <w:szCs w:val="40"/>
    </w:rPr>
  </w:style>
  <w:style w:type="paragraph" w:styleId="705">
    <w:name w:val="Heading 2"/>
    <w:basedOn w:val="880"/>
    <w:next w:val="880"/>
    <w:link w:val="7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6">
    <w:name w:val="Heading 2 Char"/>
    <w:link w:val="705"/>
    <w:uiPriority w:val="9"/>
    <w:rPr>
      <w:rFonts w:ascii="Arial" w:hAnsi="Arial" w:eastAsia="Arial" w:cs="Arial"/>
      <w:sz w:val="34"/>
    </w:rPr>
  </w:style>
  <w:style w:type="paragraph" w:styleId="707">
    <w:name w:val="Heading 3"/>
    <w:basedOn w:val="880"/>
    <w:next w:val="880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8">
    <w:name w:val="Heading 3 Char"/>
    <w:link w:val="707"/>
    <w:uiPriority w:val="9"/>
    <w:rPr>
      <w:rFonts w:ascii="Arial" w:hAnsi="Arial" w:eastAsia="Arial" w:cs="Arial"/>
      <w:sz w:val="30"/>
      <w:szCs w:val="30"/>
    </w:rPr>
  </w:style>
  <w:style w:type="paragraph" w:styleId="709">
    <w:name w:val="Heading 4"/>
    <w:basedOn w:val="880"/>
    <w:next w:val="880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0">
    <w:name w:val="Heading 4 Char"/>
    <w:link w:val="709"/>
    <w:uiPriority w:val="9"/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880"/>
    <w:next w:val="880"/>
    <w:link w:val="71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2">
    <w:name w:val="Heading 5 Char"/>
    <w:link w:val="711"/>
    <w:uiPriority w:val="9"/>
    <w:rPr>
      <w:rFonts w:ascii="Arial" w:hAnsi="Arial" w:eastAsia="Arial" w:cs="Arial"/>
      <w:b/>
      <w:bCs/>
      <w:sz w:val="24"/>
      <w:szCs w:val="24"/>
    </w:rPr>
  </w:style>
  <w:style w:type="paragraph" w:styleId="713">
    <w:name w:val="Heading 6"/>
    <w:basedOn w:val="880"/>
    <w:next w:val="880"/>
    <w:link w:val="7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4">
    <w:name w:val="Heading 6 Char"/>
    <w:link w:val="713"/>
    <w:uiPriority w:val="9"/>
    <w:rPr>
      <w:rFonts w:ascii="Arial" w:hAnsi="Arial" w:eastAsia="Arial" w:cs="Arial"/>
      <w:b/>
      <w:bCs/>
      <w:sz w:val="22"/>
      <w:szCs w:val="22"/>
    </w:rPr>
  </w:style>
  <w:style w:type="paragraph" w:styleId="715">
    <w:name w:val="Heading 7"/>
    <w:basedOn w:val="880"/>
    <w:next w:val="880"/>
    <w:link w:val="7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6">
    <w:name w:val="Heading 7 Char"/>
    <w:link w:val="7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7">
    <w:name w:val="Heading 8"/>
    <w:basedOn w:val="880"/>
    <w:next w:val="880"/>
    <w:link w:val="71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8">
    <w:name w:val="Heading 8 Char"/>
    <w:link w:val="717"/>
    <w:uiPriority w:val="9"/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880"/>
    <w:next w:val="880"/>
    <w:link w:val="72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>
    <w:name w:val="Heading 9 Char"/>
    <w:link w:val="719"/>
    <w:uiPriority w:val="9"/>
    <w:rPr>
      <w:rFonts w:ascii="Arial" w:hAnsi="Arial" w:eastAsia="Arial" w:cs="Arial"/>
      <w:i/>
      <w:iCs/>
      <w:sz w:val="21"/>
      <w:szCs w:val="21"/>
    </w:r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pPr>
      <w:spacing w:after="200" w:line="276" w:lineRule="auto"/>
    </w:pPr>
    <w:rPr>
      <w:rFonts w:eastAsia="Times New Roman"/>
      <w:sz w:val="22"/>
      <w:szCs w:val="22"/>
      <w:lang w:val="ru-RU" w:eastAsia="en-US" w:bidi="ar-SA"/>
    </w:r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ConsPlusCell"/>
    <w:next w:val="884"/>
    <w:link w:val="880"/>
    <w:pPr>
      <w:widowControl w:val="off"/>
    </w:pPr>
    <w:rPr>
      <w:rFonts w:ascii="Times New Roman" w:hAnsi="Times New Roman"/>
      <w:sz w:val="28"/>
      <w:szCs w:val="28"/>
      <w:lang w:val="ru-RU" w:eastAsia="ru-RU" w:bidi="ar-SA"/>
    </w:rPr>
  </w:style>
  <w:style w:type="paragraph" w:styleId="885">
    <w:name w:val="List Paragraph"/>
    <w:basedOn w:val="880"/>
    <w:next w:val="885"/>
    <w:link w:val="880"/>
    <w:pPr>
      <w:contextualSpacing/>
      <w:ind w:left="720"/>
    </w:pPr>
  </w:style>
  <w:style w:type="paragraph" w:styleId="886">
    <w:name w:val="Текст выноски"/>
    <w:basedOn w:val="880"/>
    <w:next w:val="886"/>
    <w:link w:val="887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7">
    <w:name w:val="Текст выноски Знак"/>
    <w:basedOn w:val="881"/>
    <w:next w:val="887"/>
    <w:link w:val="886"/>
    <w:semiHidden/>
    <w:rPr>
      <w:rFonts w:ascii="Tahoma" w:hAnsi="Tahoma" w:eastAsia="Times New Roman" w:cs="Tahoma"/>
      <w:sz w:val="16"/>
      <w:szCs w:val="16"/>
    </w:rPr>
  </w:style>
  <w:style w:type="paragraph" w:styleId="888">
    <w:name w:val="Нижний колонтитул"/>
    <w:basedOn w:val="880"/>
    <w:next w:val="888"/>
    <w:link w:val="880"/>
    <w:pPr>
      <w:tabs>
        <w:tab w:val="center" w:pos="4677" w:leader="none"/>
        <w:tab w:val="right" w:pos="9355" w:leader="none"/>
      </w:tabs>
    </w:pPr>
  </w:style>
  <w:style w:type="character" w:styleId="889">
    <w:name w:val="Номер страницы"/>
    <w:basedOn w:val="881"/>
    <w:next w:val="889"/>
    <w:link w:val="880"/>
  </w:style>
  <w:style w:type="paragraph" w:styleId="890">
    <w:name w:val="Верхний колонтитул"/>
    <w:basedOn w:val="880"/>
    <w:next w:val="890"/>
    <w:link w:val="880"/>
    <w:pPr>
      <w:tabs>
        <w:tab w:val="center" w:pos="4677" w:leader="none"/>
        <w:tab w:val="right" w:pos="9355" w:leader="none"/>
      </w:tabs>
    </w:pPr>
  </w:style>
  <w:style w:type="paragraph" w:styleId="891">
    <w:name w:val="Абзац списка"/>
    <w:basedOn w:val="880"/>
    <w:next w:val="891"/>
    <w:link w:val="880"/>
    <w:qFormat/>
    <w:pPr>
      <w:contextualSpacing/>
      <w:ind w:left="720"/>
    </w:pPr>
    <w:rPr>
      <w:rFonts w:eastAsia="Calibri"/>
    </w:rPr>
  </w:style>
  <w:style w:type="paragraph" w:styleId="892">
    <w:name w:val="Обычный (веб)"/>
    <w:basedOn w:val="880"/>
    <w:next w:val="892"/>
    <w:link w:val="880"/>
    <w:semiHidden/>
    <w:pPr>
      <w:spacing w:before="100" w:beforeAutospacing="1" w:after="100" w:afterAutospacing="1" w:line="240" w:lineRule="auto"/>
    </w:pPr>
    <w:rPr>
      <w:rFonts w:ascii="Arial" w:hAnsi="Arial" w:eastAsia="Calibri" w:cs="Arial"/>
      <w:sz w:val="20"/>
      <w:szCs w:val="20"/>
      <w:lang w:eastAsia="ru-RU"/>
    </w:rPr>
  </w:style>
  <w:style w:type="paragraph" w:styleId="893">
    <w:name w:val="Абзац списка1"/>
    <w:basedOn w:val="880"/>
    <w:next w:val="893"/>
    <w:link w:val="880"/>
    <w:pPr>
      <w:ind w:left="720"/>
    </w:pPr>
    <w:rPr>
      <w:rFonts w:ascii="Times New Roman" w:hAnsi="Times New Roman" w:eastAsia="Calibri"/>
      <w:sz w:val="28"/>
    </w:rPr>
  </w:style>
  <w:style w:type="paragraph" w:styleId="894">
    <w:name w:val="Базовый"/>
    <w:next w:val="894"/>
    <w:link w:val="880"/>
    <w:pPr>
      <w:spacing w:line="100" w:lineRule="atLeast"/>
      <w:widowControl w:val="off"/>
    </w:pPr>
    <w:rPr>
      <w:rFonts w:ascii="Times New Roman" w:hAnsi="Times New Roman" w:eastAsia="Andale Sans UI" w:cs="Tahoma"/>
      <w:sz w:val="24"/>
      <w:szCs w:val="24"/>
      <w:lang w:val="en-US" w:eastAsia="zh-CN" w:bidi="en-US"/>
    </w:rPr>
  </w:style>
  <w:style w:type="character" w:styleId="895" w:default="1">
    <w:name w:val="Default Paragraph Font"/>
    <w:uiPriority w:val="1"/>
    <w:semiHidden/>
    <w:unhideWhenUsed/>
  </w:style>
  <w:style w:type="numbering" w:styleId="896" w:default="1">
    <w:name w:val="No List"/>
    <w:uiPriority w:val="99"/>
    <w:semiHidden/>
    <w:unhideWhenUsed/>
  </w:style>
  <w:style w:type="table" w:styleId="8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user</dc:creator>
  <cp:revision>363</cp:revision>
  <dcterms:created xsi:type="dcterms:W3CDTF">2017-03-13T12:54:00Z</dcterms:created>
  <dcterms:modified xsi:type="dcterms:W3CDTF">2024-12-18T12:25:59Z</dcterms:modified>
  <cp:version>786432</cp:version>
</cp:coreProperties>
</file>