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58" w:rsidRPr="002F3A58" w:rsidRDefault="002F3A58" w:rsidP="002F3A58">
      <w:pPr>
        <w:jc w:val="center"/>
        <w:rPr>
          <w:rFonts w:eastAsia="Times New Roman" w:cs="Times New Roman"/>
          <w:sz w:val="32"/>
          <w:szCs w:val="32"/>
        </w:rPr>
      </w:pPr>
      <w:r w:rsidRPr="002F3A5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2F3A5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2F3A5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2F3A58" w:rsidRPr="002F3A58" w:rsidRDefault="002F3A58" w:rsidP="002F3A5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2F3A5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2F3A58">
        <w:rPr>
          <w:rFonts w:eastAsia="Times New Roman" w:cs="Times New Roman"/>
          <w:sz w:val="32"/>
          <w:szCs w:val="32"/>
        </w:rPr>
        <w:t>Р</w:t>
      </w:r>
      <w:proofErr w:type="gramEnd"/>
      <w:r w:rsidRPr="002F3A5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2F3A58" w:rsidRPr="002F3A58" w:rsidRDefault="002F3A58" w:rsidP="002F3A5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2F3A58">
        <w:rPr>
          <w:rFonts w:eastAsia="Times New Roman" w:cs="Times New Roman"/>
          <w:b/>
          <w:bCs/>
          <w:noProof/>
        </w:rPr>
        <w:drawing>
          <wp:inline distT="0" distB="0" distL="0" distR="0" wp14:anchorId="683B5148" wp14:editId="46AA31F7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2F3A58" w:rsidRPr="002F3A58" w:rsidRDefault="002F3A58" w:rsidP="002F3A58">
      <w:pPr>
        <w:jc w:val="center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Сорок первое  заседание Муниципального совета</w:t>
      </w:r>
    </w:p>
    <w:p w:rsidR="002F3A58" w:rsidRPr="002F3A58" w:rsidRDefault="002F3A58" w:rsidP="002F3A58">
      <w:pPr>
        <w:rPr>
          <w:rFonts w:eastAsia="Times New Roman" w:cs="Times New Roman"/>
          <w:sz w:val="28"/>
          <w:szCs w:val="28"/>
        </w:rPr>
      </w:pP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2F3A5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F3A5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</w:p>
    <w:p w:rsidR="002F3A58" w:rsidRPr="002F3A58" w:rsidRDefault="002F3A58" w:rsidP="002F3A5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 </w:t>
      </w:r>
      <w:r w:rsidRPr="002F3A58">
        <w:rPr>
          <w:rFonts w:eastAsia="Times New Roman" w:cs="Times New Roman"/>
          <w:b/>
          <w:sz w:val="28"/>
          <w:szCs w:val="28"/>
        </w:rPr>
        <w:t xml:space="preserve">от  27 июля 2022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7</w:t>
      </w:r>
    </w:p>
    <w:p w:rsid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F3A58" w:rsidTr="002F3A58">
        <w:tc>
          <w:tcPr>
            <w:tcW w:w="4928" w:type="dxa"/>
          </w:tcPr>
          <w:p w:rsidR="002F3A58" w:rsidRDefault="002F3A58" w:rsidP="002F3A58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2F3A58">
              <w:rPr>
                <w:rFonts w:eastAsia="Times New Roman" w:cs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2F3A58">
              <w:rPr>
                <w:rFonts w:eastAsia="Times New Roman" w:cs="Times New Roman"/>
                <w:b/>
                <w:sz w:val="28"/>
                <w:szCs w:val="28"/>
              </w:rPr>
              <w:t>Муниципального совета от 27 июня 2018 года № 3 «Об утверждении правил благоустройства территорий муниципальных образований Ракитянского района Белгородской области»</w:t>
            </w:r>
          </w:p>
        </w:tc>
      </w:tr>
    </w:tbl>
    <w:p w:rsidR="002F3A58" w:rsidRP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2F3A58" w:rsidRPr="002F3A58" w:rsidRDefault="002F3A58" w:rsidP="002F3A58">
      <w:pPr>
        <w:rPr>
          <w:rFonts w:eastAsia="Times New Roman" w:cs="Times New Roman"/>
          <w:sz w:val="28"/>
          <w:szCs w:val="28"/>
        </w:rPr>
      </w:pPr>
    </w:p>
    <w:p w:rsidR="002F3A58" w:rsidRDefault="002F3A58" w:rsidP="002F3A58">
      <w:pPr>
        <w:keepNext/>
        <w:widowControl w:val="0"/>
        <w:tabs>
          <w:tab w:val="left" w:pos="7938"/>
        </w:tabs>
        <w:autoSpaceDE w:val="0"/>
        <w:autoSpaceDN w:val="0"/>
        <w:ind w:right="-2" w:firstLine="709"/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В соответствии с Федеральным законом от 6 октября 2003 года            №131-ФЗ «Об общих принципах организации местного самоуправления в Российской Федерации», приказами Министерства строительства и жилищно-коммунального хозяйства Российской Федерации от 29 декабря 2021 года №1042/</w:t>
      </w:r>
      <w:proofErr w:type="spellStart"/>
      <w:proofErr w:type="gramStart"/>
      <w:r w:rsidRPr="002F3A58">
        <w:rPr>
          <w:rFonts w:eastAsia="Times New Roman" w:cs="Times New Roman"/>
          <w:sz w:val="28"/>
          <w:szCs w:val="28"/>
        </w:rPr>
        <w:t>пр</w:t>
      </w:r>
      <w:proofErr w:type="spellEnd"/>
      <w:proofErr w:type="gramEnd"/>
      <w:r w:rsidRPr="002F3A58">
        <w:rPr>
          <w:rFonts w:eastAsia="Times New Roman" w:cs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от 16 декабря 2016 года №972/</w:t>
      </w:r>
      <w:proofErr w:type="spellStart"/>
      <w:r w:rsidRPr="002F3A58">
        <w:rPr>
          <w:rFonts w:eastAsia="Times New Roman" w:cs="Times New Roman"/>
          <w:sz w:val="28"/>
          <w:szCs w:val="28"/>
        </w:rPr>
        <w:t>пр</w:t>
      </w:r>
      <w:proofErr w:type="spellEnd"/>
      <w:r w:rsidRPr="002F3A58">
        <w:rPr>
          <w:rFonts w:eastAsia="Times New Roman" w:cs="Times New Roman"/>
          <w:sz w:val="28"/>
          <w:szCs w:val="28"/>
        </w:rPr>
        <w:t xml:space="preserve"> «Об утверждении СП 82.13330 «СНиП </w:t>
      </w:r>
      <w:r w:rsidRPr="002F3A58">
        <w:rPr>
          <w:rFonts w:eastAsia="Times New Roman" w:cs="Times New Roman"/>
          <w:sz w:val="28"/>
          <w:szCs w:val="28"/>
          <w:lang w:val="en-US"/>
        </w:rPr>
        <w:t>III</w:t>
      </w:r>
      <w:r w:rsidRPr="002F3A58">
        <w:rPr>
          <w:rFonts w:eastAsia="Times New Roman" w:cs="Times New Roman"/>
          <w:sz w:val="28"/>
          <w:szCs w:val="28"/>
        </w:rPr>
        <w:t xml:space="preserve">-10-75 Благоустройство  территорий»,  Муниципальный  совет  Ракитянского  района </w:t>
      </w:r>
      <w:proofErr w:type="gramStart"/>
      <w:r w:rsidRPr="002F3A5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F3A58">
        <w:rPr>
          <w:rFonts w:eastAsia="Times New Roman" w:cs="Times New Roman"/>
          <w:b/>
          <w:sz w:val="28"/>
          <w:szCs w:val="28"/>
        </w:rPr>
        <w:t xml:space="preserve"> е ш и л:</w:t>
      </w:r>
    </w:p>
    <w:p w:rsidR="002F3A58" w:rsidRPr="002F3A58" w:rsidRDefault="002F3A58" w:rsidP="002F3A58">
      <w:pPr>
        <w:keepNext/>
        <w:widowControl w:val="0"/>
        <w:tabs>
          <w:tab w:val="left" w:pos="7938"/>
        </w:tabs>
        <w:autoSpaceDE w:val="0"/>
        <w:autoSpaceDN w:val="0"/>
        <w:ind w:right="-2" w:firstLine="709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2F3A58" w:rsidRPr="002F3A58" w:rsidRDefault="002F3A58" w:rsidP="002F3A5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1. Внести следующие изменения в решение Муниципального совета муниципального района «Ракитянский район» Белгородской области от 27 июня 2018 года №</w:t>
      </w:r>
      <w:r>
        <w:rPr>
          <w:rFonts w:eastAsia="Times New Roman" w:cs="Times New Roman"/>
          <w:sz w:val="28"/>
          <w:szCs w:val="28"/>
        </w:rPr>
        <w:t xml:space="preserve"> </w:t>
      </w:r>
      <w:r w:rsidRPr="002F3A58">
        <w:rPr>
          <w:rFonts w:eastAsia="Times New Roman" w:cs="Times New Roman"/>
          <w:sz w:val="28"/>
          <w:szCs w:val="28"/>
        </w:rPr>
        <w:t>3 «Об утверждении правил благоустройства территорий муниципальных образований Ракитянского района Белгородской области»:</w:t>
      </w:r>
    </w:p>
    <w:p w:rsidR="002F3A58" w:rsidRPr="002F3A58" w:rsidRDefault="002F3A58" w:rsidP="002F3A5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1.1. В правилах благоустройства территорий муниципальных образований Ракитянского района Белгородской области (далее – Правила благоустройства), утвержденных в пункте 1 названного решение:</w:t>
      </w:r>
    </w:p>
    <w:p w:rsidR="002F3A58" w:rsidRP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- пункты 3-5 раздела </w:t>
      </w:r>
      <w:r w:rsidRPr="002F3A58">
        <w:rPr>
          <w:rFonts w:eastAsia="Times New Roman" w:cs="Times New Roman"/>
          <w:sz w:val="28"/>
          <w:szCs w:val="28"/>
          <w:lang w:val="en-US"/>
        </w:rPr>
        <w:t>I</w:t>
      </w:r>
      <w:r w:rsidRPr="002F3A58">
        <w:rPr>
          <w:rFonts w:eastAsia="Times New Roman" w:cs="Times New Roman"/>
          <w:sz w:val="28"/>
          <w:szCs w:val="28"/>
        </w:rPr>
        <w:t xml:space="preserve">  «Общие положения» изложить в следующей редакции:</w:t>
      </w:r>
    </w:p>
    <w:p w:rsidR="002F3A58" w:rsidRP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bCs/>
          <w:sz w:val="28"/>
          <w:szCs w:val="28"/>
        </w:rPr>
        <w:t>«</w:t>
      </w:r>
      <w:r w:rsidRPr="002F3A58">
        <w:rPr>
          <w:rFonts w:eastAsia="Times New Roman" w:cs="Times New Roman"/>
          <w:sz w:val="28"/>
          <w:szCs w:val="28"/>
        </w:rPr>
        <w:t>3</w:t>
      </w:r>
      <w:bookmarkStart w:id="0" w:name="Par1"/>
      <w:bookmarkEnd w:id="0"/>
      <w:r w:rsidRPr="002F3A58">
        <w:rPr>
          <w:rFonts w:eastAsia="Times New Roman" w:cs="Times New Roman"/>
          <w:sz w:val="28"/>
          <w:szCs w:val="28"/>
        </w:rPr>
        <w:t>.</w:t>
      </w:r>
      <w:r w:rsidRPr="002F3A58">
        <w:rPr>
          <w:rFonts w:eastAsia="Times New Roman" w:cs="Times New Roman"/>
          <w:bCs/>
          <w:spacing w:val="2"/>
          <w:sz w:val="28"/>
          <w:szCs w:val="28"/>
          <w:shd w:val="clear" w:color="auto" w:fill="FFFFFF"/>
        </w:rPr>
        <w:t xml:space="preserve"> Задачами настоящих Правил являются: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формирование комфортной, современной городской среды на территории</w:t>
      </w:r>
      <w:r w:rsidRPr="002F3A58">
        <w:rPr>
          <w:rFonts w:eastAsia="Times New Roman" w:cs="Times New Roman"/>
          <w:spacing w:val="2"/>
          <w:sz w:val="28"/>
          <w:szCs w:val="28"/>
          <w:shd w:val="clear" w:color="auto" w:fill="FFFFFF"/>
        </w:rPr>
        <w:t xml:space="preserve"> муниципальных образований;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обеспечение и повышение комфортности условий проживания граждан;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 xml:space="preserve">- поддержание и улучшение санитарного и эстетического состояния территорий муниципальных образований; 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муниципальных образований, порядка и периодичности их проведения;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создание условий для ведения здорового образа жизни граждан, включая активный досуг и отдых, физическое развитие</w:t>
      </w:r>
      <w:proofErr w:type="gram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.</w:t>
      </w:r>
      <w:r w:rsidRPr="002F3A58">
        <w:rPr>
          <w:rFonts w:eastAsia="Times New Roman" w:cs="Times New Roman"/>
          <w:sz w:val="28"/>
          <w:szCs w:val="28"/>
        </w:rPr>
        <w:t>»;</w:t>
      </w:r>
      <w:proofErr w:type="gramEnd"/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4. К объектам благоустройства муниципальных образований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proofErr w:type="gram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районы, микрорайоны, кварталы и иные элементы планировочной структуры населенного пункта;</w:t>
      </w:r>
      <w:proofErr w:type="gramEnd"/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proofErr w:type="gram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  <w:proofErr w:type="gramEnd"/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- </w:t>
      </w: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 детские игровые и детские спортивные площадки;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2F3A58">
        <w:rPr>
          <w:rFonts w:eastAsia="Times New Roman" w:cs="Times New Roman"/>
          <w:sz w:val="28"/>
          <w:szCs w:val="28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велокоммуникации</w:t>
      </w:r>
      <w:proofErr w:type="spellEnd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 xml:space="preserve"> (в том числе </w:t>
      </w:r>
      <w:proofErr w:type="spell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велопешеходные</w:t>
      </w:r>
      <w:proofErr w:type="spellEnd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 xml:space="preserve"> и велосипедные дорожки, тропы, аллеи, полосы для движения велосипедного транспорта);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F3A58">
        <w:rPr>
          <w:rFonts w:eastAsia="Times New Roman" w:cs="Times New Roman"/>
          <w:sz w:val="28"/>
          <w:szCs w:val="28"/>
          <w:shd w:val="clear" w:color="auto" w:fill="FFFFFF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2F3A58">
        <w:rPr>
          <w:rFonts w:eastAsia="Times New Roman" w:cs="Times New Roman"/>
          <w:sz w:val="28"/>
          <w:szCs w:val="28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2F3A58">
        <w:rPr>
          <w:rFonts w:eastAsia="Times New Roman" w:cs="Times New Roman"/>
          <w:sz w:val="28"/>
          <w:szCs w:val="28"/>
        </w:rPr>
        <w:t>внутридворовые</w:t>
      </w:r>
      <w:proofErr w:type="spellEnd"/>
      <w:r w:rsidRPr="002F3A58">
        <w:rPr>
          <w:rFonts w:eastAsia="Times New Roman" w:cs="Times New Roman"/>
          <w:sz w:val="28"/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кладбища и мемориальные зоны;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- площадки </w:t>
      </w:r>
      <w:proofErr w:type="spellStart"/>
      <w:r w:rsidRPr="002F3A58">
        <w:rPr>
          <w:rFonts w:eastAsia="Times New Roman" w:cs="Times New Roman"/>
          <w:sz w:val="28"/>
          <w:szCs w:val="28"/>
        </w:rPr>
        <w:t>отстойно</w:t>
      </w:r>
      <w:proofErr w:type="spellEnd"/>
      <w:r w:rsidRPr="002F3A58">
        <w:rPr>
          <w:rFonts w:eastAsia="Times New Roman" w:cs="Times New Roman"/>
          <w:sz w:val="28"/>
          <w:szCs w:val="28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2F3A58">
        <w:rPr>
          <w:rFonts w:eastAsia="Times New Roman" w:cs="Times New Roman"/>
          <w:sz w:val="28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2F3A58">
        <w:rPr>
          <w:rFonts w:eastAsia="Times New Roman" w:cs="Times New Roman"/>
          <w:sz w:val="28"/>
          <w:szCs w:val="28"/>
        </w:rPr>
        <w:t>мототранспортных</w:t>
      </w:r>
      <w:proofErr w:type="spellEnd"/>
      <w:r w:rsidRPr="002F3A58">
        <w:rPr>
          <w:rFonts w:eastAsia="Times New Roman" w:cs="Times New Roman"/>
          <w:sz w:val="28"/>
          <w:szCs w:val="28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2F3A58">
        <w:rPr>
          <w:rFonts w:eastAsia="Times New Roman" w:cs="Times New Roman"/>
          <w:sz w:val="28"/>
          <w:szCs w:val="28"/>
        </w:rPr>
        <w:t>велопарковки</w:t>
      </w:r>
      <w:proofErr w:type="spellEnd"/>
      <w:r w:rsidRPr="002F3A58">
        <w:rPr>
          <w:rFonts w:eastAsia="Times New Roman" w:cs="Times New Roman"/>
          <w:sz w:val="28"/>
          <w:szCs w:val="28"/>
        </w:rPr>
        <w:t xml:space="preserve"> и велосипедные стоянки), </w:t>
      </w:r>
      <w:proofErr w:type="spellStart"/>
      <w:r w:rsidRPr="002F3A58">
        <w:rPr>
          <w:rFonts w:eastAsia="Times New Roman" w:cs="Times New Roman"/>
          <w:sz w:val="28"/>
          <w:szCs w:val="28"/>
        </w:rPr>
        <w:t>кемпстоянки</w:t>
      </w:r>
      <w:proofErr w:type="spellEnd"/>
      <w:r w:rsidRPr="002F3A58">
        <w:rPr>
          <w:rFonts w:eastAsia="Times New Roman" w:cs="Times New Roman"/>
          <w:sz w:val="28"/>
          <w:szCs w:val="28"/>
        </w:rPr>
        <w:t>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зоны транспортных, инженерных коммуникаций;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2F3A58">
        <w:rPr>
          <w:rFonts w:eastAsia="Times New Roman" w:cs="Times New Roman"/>
          <w:sz w:val="28"/>
          <w:szCs w:val="28"/>
        </w:rPr>
        <w:t>водоохранные</w:t>
      </w:r>
      <w:proofErr w:type="spellEnd"/>
      <w:r w:rsidRPr="002F3A58">
        <w:rPr>
          <w:rFonts w:eastAsia="Times New Roman" w:cs="Times New Roman"/>
          <w:sz w:val="28"/>
          <w:szCs w:val="28"/>
        </w:rPr>
        <w:t xml:space="preserve"> зоны;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площадки для выгула и дрессировки животных;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отходов;</w:t>
      </w:r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- другие территории </w:t>
      </w:r>
      <w:r w:rsidRPr="002F3A58">
        <w:rPr>
          <w:rFonts w:eastAsia="Calibri" w:cs="Times New Roman"/>
          <w:sz w:val="28"/>
          <w:szCs w:val="28"/>
        </w:rPr>
        <w:t>муниципальных образований Ракитянского района</w:t>
      </w:r>
      <w:proofErr w:type="gramStart"/>
      <w:r w:rsidRPr="002F3A58">
        <w:rPr>
          <w:rFonts w:eastAsia="Times New Roman" w:cs="Times New Roman"/>
          <w:sz w:val="28"/>
          <w:szCs w:val="28"/>
        </w:rPr>
        <w:t>.»;</w:t>
      </w:r>
      <w:proofErr w:type="gramEnd"/>
    </w:p>
    <w:p w:rsidR="002F3A58" w:rsidRPr="002F3A58" w:rsidRDefault="002F3A58" w:rsidP="002F3A5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Pr="002F3A58">
        <w:rPr>
          <w:rFonts w:eastAsia="Times New Roman" w:cs="Times New Roman"/>
          <w:sz w:val="28"/>
          <w:szCs w:val="28"/>
        </w:rPr>
        <w:t>В соответствии с пунктом 38 статьи </w:t>
      </w:r>
      <w:hyperlink r:id="rId8" w:history="1">
        <w:r w:rsidRPr="002F3A58">
          <w:rPr>
            <w:rFonts w:eastAsia="Times New Roman" w:cs="Times New Roman"/>
            <w:sz w:val="28"/>
            <w:szCs w:val="28"/>
            <w:bdr w:val="none" w:sz="0" w:space="0" w:color="auto" w:frame="1"/>
          </w:rPr>
          <w:t>1 Градостроительного кодекса Российской Федерации</w:t>
        </w:r>
      </w:hyperlink>
      <w:r w:rsidRPr="002F3A58">
        <w:rPr>
          <w:rFonts w:eastAsia="Times New Roman" w:cs="Times New Roman"/>
          <w:sz w:val="28"/>
          <w:szCs w:val="28"/>
        </w:rPr>
        <w:t xml:space="preserve"> 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</w:t>
      </w:r>
      <w:bookmarkStart w:id="1" w:name="_GoBack"/>
      <w:bookmarkEnd w:id="1"/>
      <w:r w:rsidRPr="002F3A58">
        <w:rPr>
          <w:rFonts w:eastAsia="Times New Roman" w:cs="Times New Roman"/>
          <w:sz w:val="28"/>
          <w:szCs w:val="28"/>
        </w:rPr>
        <w:t>щиты и указатели, применяемые как составные части благоустройства территории.</w:t>
      </w:r>
      <w:proofErr w:type="gramEnd"/>
      <w:r w:rsidRPr="002F3A58">
        <w:rPr>
          <w:rFonts w:eastAsia="Times New Roman" w:cs="Times New Roman"/>
          <w:sz w:val="28"/>
          <w:szCs w:val="28"/>
        </w:rPr>
        <w:t xml:space="preserve"> В правилах благоустройства территорий муниципальных </w:t>
      </w:r>
      <w:r w:rsidRPr="002F3A58">
        <w:rPr>
          <w:rFonts w:eastAsia="Times New Roman" w:cs="Times New Roman"/>
          <w:sz w:val="28"/>
          <w:szCs w:val="28"/>
        </w:rPr>
        <w:lastRenderedPageBreak/>
        <w:t>образований к элементам благоустройства могут быть также отнесены, например: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proofErr w:type="gramStart"/>
      <w:r w:rsidRPr="002F3A58">
        <w:rPr>
          <w:rFonts w:eastAsia="Calibri" w:cs="Times New Roman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proofErr w:type="gramStart"/>
      <w:r w:rsidRPr="002F3A58">
        <w:rPr>
          <w:rFonts w:eastAsia="Calibri" w:cs="Times New Roman"/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2F3A58">
        <w:rPr>
          <w:rFonts w:eastAsia="Calibri" w:cs="Times New Roman"/>
          <w:sz w:val="28"/>
          <w:szCs w:val="28"/>
        </w:rPr>
        <w:t>экоплитки</w:t>
      </w:r>
      <w:proofErr w:type="spellEnd"/>
      <w:r w:rsidRPr="002F3A58">
        <w:rPr>
          <w:rFonts w:eastAsia="Calibri" w:cs="Times New Roman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proofErr w:type="gramStart"/>
      <w:r w:rsidRPr="002F3A58">
        <w:rPr>
          <w:rFonts w:eastAsia="Calibri" w:cs="Times New Roman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сборные искусственные неровности, сборные шумовые полосы;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2F3A58">
        <w:rPr>
          <w:rFonts w:eastAsia="Calibri" w:cs="Times New Roman"/>
          <w:sz w:val="28"/>
          <w:szCs w:val="28"/>
        </w:rPr>
        <w:t>прикопы</w:t>
      </w:r>
      <w:proofErr w:type="spellEnd"/>
      <w:r w:rsidRPr="002F3A58">
        <w:rPr>
          <w:rFonts w:eastAsia="Calibri" w:cs="Times New Roman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въездные группы;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proofErr w:type="gramStart"/>
      <w:r w:rsidRPr="002F3A58">
        <w:rPr>
          <w:rFonts w:eastAsia="Calibri" w:cs="Times New Roman"/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proofErr w:type="gramStart"/>
      <w:r w:rsidRPr="002F3A58">
        <w:rPr>
          <w:rFonts w:eastAsia="Calibri" w:cs="Times New Roman"/>
          <w:sz w:val="28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водные устройства (в том числе питьевые фонтанчики, фонтаны, искусственные декоративные водопады);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плавучие домики для птиц, скворечники, кормушки, голубятни;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lastRenderedPageBreak/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остановочные павильоны;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сезонные (летние) кафе;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городская мебель;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рекламные конструкции;</w:t>
      </w:r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>- праздничное оформление</w:t>
      </w:r>
      <w:proofErr w:type="gramStart"/>
      <w:r w:rsidRPr="002F3A58">
        <w:rPr>
          <w:rFonts w:eastAsia="Calibri" w:cs="Times New Roman"/>
          <w:sz w:val="28"/>
          <w:szCs w:val="28"/>
        </w:rPr>
        <w:t>.»;</w:t>
      </w:r>
      <w:proofErr w:type="gramEnd"/>
    </w:p>
    <w:p w:rsidR="002F3A58" w:rsidRPr="002F3A58" w:rsidRDefault="002F3A58" w:rsidP="002F3A58">
      <w:pPr>
        <w:shd w:val="clear" w:color="auto" w:fill="FFFFFF"/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 xml:space="preserve">- пункты 1-11 раздела </w:t>
      </w:r>
      <w:r w:rsidRPr="002F3A58">
        <w:rPr>
          <w:rFonts w:eastAsia="Calibri" w:cs="Times New Roman"/>
          <w:bCs/>
          <w:sz w:val="28"/>
          <w:szCs w:val="28"/>
          <w:lang w:val="en-US"/>
        </w:rPr>
        <w:t>II</w:t>
      </w:r>
      <w:r w:rsidRPr="002F3A58">
        <w:rPr>
          <w:rFonts w:eastAsia="Calibri" w:cs="Times New Roman"/>
          <w:sz w:val="28"/>
          <w:szCs w:val="28"/>
        </w:rPr>
        <w:t xml:space="preserve"> «Требования к благоустройству» изложить в следующей редакции: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Calibri" w:cs="Times New Roman"/>
          <w:sz w:val="28"/>
          <w:szCs w:val="28"/>
        </w:rPr>
        <w:tab/>
        <w:t>«</w:t>
      </w:r>
      <w:r w:rsidRPr="002F3A58">
        <w:rPr>
          <w:rFonts w:eastAsia="Times New Roman" w:cs="Times New Roman"/>
          <w:sz w:val="28"/>
          <w:szCs w:val="28"/>
        </w:rPr>
        <w:t>1. Развитие городской среды рекомендуется осуществлять путем улучшения, обновления, развития инфраструктуры муниципальных образований и системы 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«умный город», развития коммуникаций между жителями муниципальных образований и их объединениями.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Удобно расположенные территории муниципальных образований, к которым обеспечена пешеходная и транспортная доступность для большого количества жителей муниципальных образований, в том числе для МГН, рекомендуется использовать с максимальной эффективностью, на протяжении как можно более длительного времени и в любой сезон.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2. К деятельности по благоустройству территорий рекомендуется относить разработку документации, основанной на стратегии развития муниципальных образований и концепции, отражающей потребности жителей таких муниципальных образований,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3. Органам местного самоуправления рекомендуется относить к потенциальным участникам деятельности по благоустройству территорий следующие группы лиц: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</w:r>
      <w:proofErr w:type="gramStart"/>
      <w:r w:rsidRPr="002F3A58">
        <w:rPr>
          <w:rFonts w:eastAsia="Times New Roman" w:cs="Times New Roman"/>
          <w:sz w:val="28"/>
          <w:szCs w:val="28"/>
        </w:rPr>
        <w:t>а) жителей муниципального образования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lastRenderedPageBreak/>
        <w:tab/>
        <w:t>б) представителей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в) хозяйствующих субъектов, осуществляющих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2F3A58">
        <w:rPr>
          <w:rFonts w:eastAsia="Times New Roman" w:cs="Times New Roman"/>
          <w:sz w:val="28"/>
          <w:szCs w:val="28"/>
        </w:rPr>
        <w:t>урбанистики</w:t>
      </w:r>
      <w:proofErr w:type="spellEnd"/>
      <w:r w:rsidRPr="002F3A58">
        <w:rPr>
          <w:rFonts w:eastAsia="Times New Roman" w:cs="Times New Roman"/>
          <w:sz w:val="28"/>
          <w:szCs w:val="28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е) региональные центры компетенций;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ж) иных лиц.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4. </w:t>
      </w:r>
      <w:proofErr w:type="gramStart"/>
      <w:r w:rsidRPr="002F3A58">
        <w:rPr>
          <w:rFonts w:eastAsia="Times New Roman" w:cs="Times New Roman"/>
          <w:sz w:val="28"/>
          <w:szCs w:val="28"/>
        </w:rPr>
        <w:t>С целью формирования комфортной городской среды в муниципальных образованиях Ракитянского района органам местного самоуправления рекомендуется осуществлять планирование развития территорий муниципальных образований,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муниципальных образований, иных участников деятельности по</w:t>
      </w:r>
      <w:proofErr w:type="gramEnd"/>
      <w:r w:rsidRPr="002F3A58">
        <w:rPr>
          <w:rFonts w:eastAsia="Times New Roman" w:cs="Times New Roman"/>
          <w:sz w:val="28"/>
          <w:szCs w:val="28"/>
        </w:rPr>
        <w:t xml:space="preserve"> благоустройству территорий и иных потенциальных пользователей общественных и дворовых территорий муниципального образования,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 декабря 2020 г. N 913/пр.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5.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муниципального образования. При этом рекомендуется обеспечивать синхронизацию </w:t>
      </w:r>
      <w:r w:rsidRPr="002F3A58">
        <w:rPr>
          <w:rFonts w:eastAsia="Times New Roman" w:cs="Times New Roman"/>
          <w:sz w:val="28"/>
          <w:szCs w:val="28"/>
        </w:rPr>
        <w:lastRenderedPageBreak/>
        <w:t>мероприятий, реализуемых в рамках государственных программ (подпрограмм) субъектов Российской Федерации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6.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муниципального образования.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7. Перечень территорий, подлежащих благоустройству, очередность реализации проектов благоустройства, объемы и источники финансирования рекомендуется устанавливать в соответствующей муниципальной программе формирования современной городской среды.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8. В рамках разработки муниципальных программ формирования современной городской среды рекомендуется проводить инвентаризацию объектов благоустройства и разработать паспорта объектов благоустройства, в том числе в электронной форме.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В паспорте объекта благоустройства рекомендуется отобразить следующую информацию: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наименование (вид) объекта благоустройства;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адрес объекта благоустройства;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-площадь объекта благоустройства, в том числе площадь механизированной и ручной уборки;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ситуационный план;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информация о наличии зон с особыми условиями использования территории;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- информация </w:t>
      </w:r>
      <w:proofErr w:type="gramStart"/>
      <w:r w:rsidRPr="002F3A58">
        <w:rPr>
          <w:rFonts w:eastAsia="Times New Roman" w:cs="Times New Roman"/>
          <w:sz w:val="28"/>
          <w:szCs w:val="28"/>
        </w:rPr>
        <w:t>о</w:t>
      </w:r>
      <w:proofErr w:type="gramEnd"/>
      <w:r w:rsidRPr="002F3A58">
        <w:rPr>
          <w:rFonts w:eastAsia="Times New Roman" w:cs="Times New Roman"/>
          <w:sz w:val="28"/>
          <w:szCs w:val="28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информация о лице, ответственном за содержание объекта благоустройства;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- иная информация, характеризующая объект благоустройства.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9.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10. При реализации проектов благоустройства территорий муниципальных образований рекомендуется обеспечивать: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lastRenderedPageBreak/>
        <w:tab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б) взаимосвязь пространств муниципального образования, доступность объектов инфраструктуры для детей и МГН, в том числе за счет ликвидации необоснованных барьеров и препятствий;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Рекомендуется обеспечить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</w:r>
      <w:proofErr w:type="gramStart"/>
      <w:r w:rsidRPr="002F3A58">
        <w:rPr>
          <w:rFonts w:eastAsia="Times New Roman" w:cs="Times New Roman"/>
          <w:sz w:val="28"/>
          <w:szCs w:val="28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2F3A58">
        <w:rPr>
          <w:rFonts w:eastAsia="Times New Roman" w:cs="Times New Roman"/>
          <w:sz w:val="28"/>
          <w:szCs w:val="28"/>
        </w:rPr>
        <w:t>использования</w:t>
      </w:r>
      <w:proofErr w:type="gramEnd"/>
      <w:r w:rsidRPr="002F3A58">
        <w:rPr>
          <w:rFonts w:eastAsia="Times New Roman" w:cs="Times New Roman"/>
          <w:sz w:val="28"/>
          <w:szCs w:val="28"/>
        </w:rPr>
        <w:t xml:space="preserve"> эффективных архитектурно-планировочных приемов;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з) безопасность и порядок, в том числе путем организации системы освещения и видеонаблюдения.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>11.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финансирования, в том числе с использованием механизмов государственно-частного партнерства</w:t>
      </w:r>
      <w:proofErr w:type="gramStart"/>
      <w:r w:rsidRPr="002F3A58">
        <w:rPr>
          <w:rFonts w:eastAsia="Times New Roman" w:cs="Times New Roman"/>
          <w:sz w:val="28"/>
          <w:szCs w:val="28"/>
        </w:rPr>
        <w:t>.»;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- </w:t>
      </w:r>
      <w:proofErr w:type="gramEnd"/>
      <w:r w:rsidRPr="002F3A58">
        <w:rPr>
          <w:rFonts w:eastAsia="Times New Roman" w:cs="Times New Roman"/>
          <w:sz w:val="28"/>
          <w:szCs w:val="28"/>
        </w:rPr>
        <w:t xml:space="preserve">пункт 1.1.1 части 1.1. главы 1 раздела </w:t>
      </w:r>
      <w:r w:rsidRPr="002F3A58">
        <w:rPr>
          <w:rFonts w:eastAsia="Times New Roman" w:cs="Times New Roman"/>
          <w:bCs/>
          <w:sz w:val="28"/>
          <w:szCs w:val="28"/>
          <w:lang w:val="en-US"/>
        </w:rPr>
        <w:t>II</w:t>
      </w:r>
      <w:r w:rsidRPr="002F3A58">
        <w:rPr>
          <w:rFonts w:eastAsia="Times New Roman" w:cs="Times New Roman"/>
          <w:sz w:val="28"/>
          <w:szCs w:val="28"/>
        </w:rPr>
        <w:t xml:space="preserve"> «Требования к благоустройству» изложить в следующей редакции:</w:t>
      </w:r>
    </w:p>
    <w:p w:rsidR="002F3A58" w:rsidRPr="002F3A58" w:rsidRDefault="002F3A58" w:rsidP="002F3A58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ab/>
        <w:t xml:space="preserve">«1.1.1. </w:t>
      </w:r>
      <w:proofErr w:type="gram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 xml:space="preserve">К объектам благоустройства на территориях жилой застройки рекомендуется относить: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</w:t>
      </w:r>
      <w:r w:rsidRPr="002F3A58">
        <w:rPr>
          <w:rFonts w:eastAsia="Times New Roman" w:cs="Times New Roman"/>
          <w:sz w:val="28"/>
          <w:szCs w:val="28"/>
          <w:shd w:val="clear" w:color="auto" w:fill="FFFFFF"/>
        </w:rPr>
        <w:lastRenderedPageBreak/>
        <w:t>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</w:t>
      </w:r>
      <w:proofErr w:type="gramEnd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, которые в различных сочетаниях формируют кварталы, микрорайоны, районы и иные подобные элементы планировочной структуры населенного пункта</w:t>
      </w:r>
      <w:proofErr w:type="gramStart"/>
      <w:r w:rsidRPr="002F3A58">
        <w:rPr>
          <w:rFonts w:eastAsia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2F3A58" w:rsidRPr="002F3A58" w:rsidRDefault="002F3A58" w:rsidP="002F3A58">
      <w:pPr>
        <w:tabs>
          <w:tab w:val="num" w:pos="786"/>
        </w:tabs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F3A58" w:rsidRP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2F3A58">
        <w:rPr>
          <w:rFonts w:eastAsia="Times New Roman" w:cs="Times New Roman"/>
          <w:bCs/>
          <w:sz w:val="28"/>
          <w:szCs w:val="28"/>
        </w:rPr>
        <w:tab/>
        <w:t xml:space="preserve">3. </w:t>
      </w:r>
      <w:proofErr w:type="gramStart"/>
      <w:r w:rsidRPr="002F3A58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2F3A58">
        <w:rPr>
          <w:rFonts w:eastAsia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вопросам жилищно-коммунального хозяйства (Владимиров В.П.). </w:t>
      </w:r>
    </w:p>
    <w:p w:rsidR="002F3A58" w:rsidRPr="002F3A58" w:rsidRDefault="002F3A58" w:rsidP="002F3A58">
      <w:pPr>
        <w:jc w:val="both"/>
        <w:rPr>
          <w:rFonts w:eastAsia="Times New Roman" w:cs="Times New Roman"/>
          <w:sz w:val="28"/>
          <w:szCs w:val="28"/>
        </w:rPr>
      </w:pPr>
    </w:p>
    <w:p w:rsidR="002F3A58" w:rsidRPr="002F3A58" w:rsidRDefault="002F3A58" w:rsidP="002F3A58">
      <w:pPr>
        <w:jc w:val="both"/>
        <w:rPr>
          <w:rFonts w:eastAsia="Times New Roman" w:cs="Times New Roman"/>
          <w:sz w:val="28"/>
          <w:szCs w:val="28"/>
        </w:rPr>
      </w:pPr>
    </w:p>
    <w:p w:rsidR="002F3A58" w:rsidRPr="002F3A58" w:rsidRDefault="002F3A58" w:rsidP="002F3A58">
      <w:pPr>
        <w:jc w:val="both"/>
        <w:rPr>
          <w:rFonts w:eastAsia="Times New Roman" w:cs="Times New Roman"/>
          <w:sz w:val="28"/>
          <w:szCs w:val="28"/>
        </w:rPr>
      </w:pPr>
    </w:p>
    <w:p w:rsidR="002F3A58" w:rsidRPr="002F3A58" w:rsidRDefault="002F3A58" w:rsidP="002F3A58">
      <w:pPr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>Председатель</w:t>
      </w:r>
    </w:p>
    <w:p w:rsidR="002F3A58" w:rsidRPr="002F3A58" w:rsidRDefault="002F3A58" w:rsidP="002F3A58">
      <w:pPr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:rsidR="00613C79" w:rsidRDefault="00613C79"/>
    <w:sectPr w:rsidR="00613C79" w:rsidSect="002F3A5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2" w:rsidRDefault="00977F92" w:rsidP="002F3A58">
      <w:r>
        <w:separator/>
      </w:r>
    </w:p>
  </w:endnote>
  <w:endnote w:type="continuationSeparator" w:id="0">
    <w:p w:rsidR="00977F92" w:rsidRDefault="00977F92" w:rsidP="002F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2" w:rsidRDefault="00977F92" w:rsidP="002F3A58">
      <w:r>
        <w:separator/>
      </w:r>
    </w:p>
  </w:footnote>
  <w:footnote w:type="continuationSeparator" w:id="0">
    <w:p w:rsidR="00977F92" w:rsidRDefault="00977F92" w:rsidP="002F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04954"/>
      <w:docPartObj>
        <w:docPartGallery w:val="Page Numbers (Top of Page)"/>
        <w:docPartUnique/>
      </w:docPartObj>
    </w:sdtPr>
    <w:sdtContent>
      <w:p w:rsidR="002F3A58" w:rsidRDefault="002F3A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F3A58" w:rsidRDefault="002F3A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D0"/>
    <w:rsid w:val="002F3A58"/>
    <w:rsid w:val="00613C79"/>
    <w:rsid w:val="00977F92"/>
    <w:rsid w:val="00B959D0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5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5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A5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5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5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A5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radostroitelnyy-kodeks/Glava-1/Statya-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3132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2022-08-01T06:06:00Z</dcterms:created>
  <dcterms:modified xsi:type="dcterms:W3CDTF">2022-08-01T06:17:00Z</dcterms:modified>
</cp:coreProperties>
</file>