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C" w:rsidRDefault="008E4E6C" w:rsidP="008E4E6C">
      <w:pPr>
        <w:pStyle w:val="a6"/>
      </w:pPr>
      <w:r>
        <w:t xml:space="preserve">В настоящее время торговая сеть района насчитывает 348 розничных торговых объектов, в том числе 10 нестационарных торговых объектов и 2 предприятия оптовой торговли. </w:t>
      </w:r>
      <w:proofErr w:type="gramStart"/>
      <w:r>
        <w:t xml:space="preserve">Из общего количества предприятий стационарной розничной торговли 29 специализированных продовольственных объектов (рыба, мясо, алкогольные напитки и другое), 117 специализированных непродовольственных объектов (мебель, </w:t>
      </w:r>
      <w:proofErr w:type="spellStart"/>
      <w:r>
        <w:t>хозтовары</w:t>
      </w:r>
      <w:proofErr w:type="spellEnd"/>
      <w:r>
        <w:t>, одежда обувь, ткани и другое), 102 объекта осуществляет реализацию продовольственными товарами и товарами смешанного ассортимента, 57 объектов по реализации непродовольственных товаров, 8 аптек и 13 аптечных киосков, 2 ветеринарных аптеки, 3 оптики, 7 автозаправочных станций.</w:t>
      </w:r>
      <w:proofErr w:type="gramEnd"/>
      <w:r>
        <w:t xml:space="preserve"> Общая торговая площадь предприятий розничной торговли составляет 18,4 тыс. кв.м.</w:t>
      </w:r>
    </w:p>
    <w:p w:rsidR="008E4E6C" w:rsidRDefault="008E4E6C" w:rsidP="008E4E6C">
      <w:pPr>
        <w:pStyle w:val="a6"/>
      </w:pPr>
      <w:r>
        <w:t>Численность занятых в сфере торгового обслуживания населения района на 01.01.2022 года составила 821 человек.</w:t>
      </w:r>
    </w:p>
    <w:p w:rsidR="008E4E6C" w:rsidRDefault="008E4E6C" w:rsidP="008E4E6C">
      <w:pPr>
        <w:pStyle w:val="a6"/>
      </w:pPr>
      <w:r>
        <w:t>За 2021 год объем оборота розничной торговли по крупным и средним предприятиям района составил 1706,2 млн. руб., что составляет 108,9 % к уровню 2020 года. Общий объем оборота розничной торговли по району на 1 жителя составил 49940 рублей.</w:t>
      </w:r>
    </w:p>
    <w:p w:rsidR="008E4E6C" w:rsidRDefault="008E4E6C" w:rsidP="008E4E6C">
      <w:pPr>
        <w:pStyle w:val="a6"/>
      </w:pPr>
      <w:r>
        <w:t>Сеть общественного питания района насчитывает 69 предприятий на 3772 посадочных места. К общедоступной сети (кафе, закусочные, буфеты, кулинария) относятся 38 предприятия на 1196 посадочных места.</w:t>
      </w:r>
    </w:p>
    <w:p w:rsidR="008E4E6C" w:rsidRDefault="008E4E6C" w:rsidP="008E4E6C">
      <w:pPr>
        <w:pStyle w:val="a6"/>
      </w:pPr>
      <w:r>
        <w:t>За 2021 год объем оборота этой отрасли составил 172,1 млн. руб., что в 2,5 раза больше уровня 2020 года.</w:t>
      </w:r>
    </w:p>
    <w:p w:rsidR="008E4E6C" w:rsidRDefault="008E4E6C" w:rsidP="008E4E6C">
      <w:pPr>
        <w:pStyle w:val="a6"/>
      </w:pPr>
      <w:r>
        <w:t xml:space="preserve">Сфера оказания бытовых услуг населению насчитывает 109 предприятий, с численностью работников 185 чел. В районе работает 44 парикмахерские и салона красоты, 17 станций технического обслуживания автомобилей, 6 предприятий оказывают услуги по ремонту и техническому обслуживанию бытовой радиоэлектронной аппаратуры, бытовых машин и приборов. </w:t>
      </w:r>
      <w:proofErr w:type="gramStart"/>
      <w:r>
        <w:t>Помимо этого в районе можно получить услуги по ремонту и пошиву швейных изделий (10 ателье), ремонту и пошиву обуви (6 предприятий), На территории района действуют предприятия по изготовлению мебели (1 объекта), строительству и ремонту жилья (3 предприятия), гостиницы и гостевые домики (3 объекта), салоны фотографии (4 объекта), бани (3 объекта), предприятия, оказывающие ритуальные и обрядовые услуги (6 объектов), прочие услуги</w:t>
      </w:r>
      <w:proofErr w:type="gramEnd"/>
      <w:r>
        <w:t xml:space="preserve"> (</w:t>
      </w:r>
      <w:proofErr w:type="gramStart"/>
      <w:r>
        <w:t>6 объектов).</w:t>
      </w:r>
      <w:proofErr w:type="gramEnd"/>
    </w:p>
    <w:p w:rsidR="008E4E6C" w:rsidRDefault="008E4E6C" w:rsidP="008E4E6C">
      <w:pPr>
        <w:pStyle w:val="a6"/>
      </w:pPr>
      <w:r>
        <w:t>По сравнению с прошлым годом общая сумма оказываемых платных услуг увеличилась на 10,2 % и составила 144,6 млн. руб. В расчете на 1 жителя оказано услуг на сумму 4232 руб.</w:t>
      </w:r>
    </w:p>
    <w:p w:rsidR="008E4E6C" w:rsidRDefault="008E4E6C" w:rsidP="008E4E6C">
      <w:pPr>
        <w:pStyle w:val="a6"/>
      </w:pPr>
      <w:r>
        <w:t>Под постоянным контролем администрации района находятся такие вопросы, как улучшение торгового и бытового обслуживания населения, качество продукции, защита прав потребителей.</w:t>
      </w:r>
    </w:p>
    <w:p w:rsidR="008E4E6C" w:rsidRDefault="008E4E6C" w:rsidP="008E4E6C">
      <w:pPr>
        <w:pStyle w:val="a6"/>
      </w:pPr>
      <w:r>
        <w:t>Таким образом, за 2021 год к специалисту по защите прав потребителей поступило 23 письменных обращений и оказано 476 устных консультаций, в т.ч. по телефону «Горячая линия».</w:t>
      </w:r>
    </w:p>
    <w:p w:rsidR="008E4E6C" w:rsidRDefault="008E4E6C" w:rsidP="008E4E6C">
      <w:pPr>
        <w:pStyle w:val="a6"/>
      </w:pPr>
      <w:r>
        <w:t>Для стабилизации ситуации в сфере потребительского рынка немаловажное значение придается работе единой общественной приемной всероссийской политической партии «Единая Россия» по вопросам малого бизнеса и защите прав потребителей.</w:t>
      </w:r>
    </w:p>
    <w:p w:rsidR="008E4E6C" w:rsidRDefault="008E4E6C" w:rsidP="008E4E6C">
      <w:pPr>
        <w:pStyle w:val="a6"/>
      </w:pPr>
      <w:r>
        <w:t xml:space="preserve">За отчетный период текущего года в общественную приемную письменных и устных обращений от жителей </w:t>
      </w:r>
      <w:proofErr w:type="spellStart"/>
      <w:r>
        <w:t>Ракитянского</w:t>
      </w:r>
      <w:proofErr w:type="spellEnd"/>
      <w:r>
        <w:t xml:space="preserve"> района не поступало.</w:t>
      </w:r>
    </w:p>
    <w:p w:rsidR="00067A9E" w:rsidRPr="008E4E6C" w:rsidRDefault="00067A9E" w:rsidP="008E4E6C">
      <w:pPr>
        <w:rPr>
          <w:szCs w:val="24"/>
          <w:lang w:val="ru-RU"/>
        </w:rPr>
      </w:pPr>
    </w:p>
    <w:sectPr w:rsidR="00067A9E" w:rsidRPr="008E4E6C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44D08"/>
    <w:rsid w:val="00461C88"/>
    <w:rsid w:val="004C65AD"/>
    <w:rsid w:val="005B2185"/>
    <w:rsid w:val="006B643A"/>
    <w:rsid w:val="006C404F"/>
    <w:rsid w:val="0080289F"/>
    <w:rsid w:val="00810346"/>
    <w:rsid w:val="00882A0F"/>
    <w:rsid w:val="008A5E0D"/>
    <w:rsid w:val="008C57E6"/>
    <w:rsid w:val="008E4E6C"/>
    <w:rsid w:val="00914692"/>
    <w:rsid w:val="009A269A"/>
    <w:rsid w:val="009D2ED4"/>
    <w:rsid w:val="009E185E"/>
    <w:rsid w:val="00A56944"/>
    <w:rsid w:val="00A60D78"/>
    <w:rsid w:val="00AA2EC3"/>
    <w:rsid w:val="00BB3695"/>
    <w:rsid w:val="00C1518D"/>
    <w:rsid w:val="00C15F33"/>
    <w:rsid w:val="00CA5FD4"/>
    <w:rsid w:val="00CB6AC9"/>
    <w:rsid w:val="00CD437F"/>
    <w:rsid w:val="00CF1006"/>
    <w:rsid w:val="00D940B5"/>
    <w:rsid w:val="00DA2E2F"/>
    <w:rsid w:val="00E12345"/>
    <w:rsid w:val="00E5076C"/>
    <w:rsid w:val="00ED2E92"/>
    <w:rsid w:val="00EE1F38"/>
    <w:rsid w:val="00F350E9"/>
    <w:rsid w:val="00F701AF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iPriority w:val="99"/>
    <w:semiHidden/>
    <w:unhideWhenUsed/>
    <w:rsid w:val="00444D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cp:lastPrinted>2022-06-17T04:16:00Z</cp:lastPrinted>
  <dcterms:created xsi:type="dcterms:W3CDTF">2022-06-17T06:08:00Z</dcterms:created>
  <dcterms:modified xsi:type="dcterms:W3CDTF">2022-06-17T06:08:00Z</dcterms:modified>
</cp:coreProperties>
</file>