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B919B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A46A8A">
              <w:rPr>
                <w:b/>
                <w:sz w:val="24"/>
                <w:szCs w:val="24"/>
              </w:rPr>
              <w:t xml:space="preserve">Об установлении платы, взимаемой с родителей (законных представителей) за присмотр и уход за детьми в муниципальных образовательных </w:t>
            </w:r>
            <w:r w:rsidR="00B919BA">
              <w:rPr>
                <w:b/>
                <w:sz w:val="24"/>
                <w:szCs w:val="24"/>
              </w:rPr>
              <w:t>учреждениях</w:t>
            </w:r>
            <w:bookmarkStart w:id="0" w:name="_GoBack"/>
            <w:bookmarkEnd w:id="0"/>
            <w:r w:rsidR="00A46A8A">
              <w:rPr>
                <w:b/>
                <w:sz w:val="24"/>
                <w:szCs w:val="24"/>
              </w:rPr>
              <w:t xml:space="preserve"> Ракитянского района, реализующих образовательные программы дошкольного образования, в 2025 году»  </w:t>
            </w:r>
            <w:r w:rsidR="00A46A8A">
              <w:rPr>
                <w:sz w:val="24"/>
                <w:szCs w:val="24"/>
              </w:rPr>
              <w:t xml:space="preserve"> </w:t>
            </w:r>
            <w:r w:rsidR="00A46A8A">
              <w:rPr>
                <w:b/>
                <w:bCs/>
                <w:sz w:val="24"/>
                <w:szCs w:val="24"/>
              </w:rPr>
              <w:t xml:space="preserve"> 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FF9" w:rsidRDefault="004A1FF9" w:rsidP="00DE5CA5">
      <w:r>
        <w:separator/>
      </w:r>
    </w:p>
  </w:endnote>
  <w:endnote w:type="continuationSeparator" w:id="0">
    <w:p w:rsidR="004A1FF9" w:rsidRDefault="004A1FF9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FF9" w:rsidRDefault="004A1FF9">
      <w:r>
        <w:separator/>
      </w:r>
    </w:p>
  </w:footnote>
  <w:footnote w:type="continuationSeparator" w:id="0">
    <w:p w:rsidR="004A1FF9" w:rsidRDefault="004A1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2E63F1"/>
    <w:rsid w:val="00386FAE"/>
    <w:rsid w:val="003A56EC"/>
    <w:rsid w:val="004032D9"/>
    <w:rsid w:val="004A1FF9"/>
    <w:rsid w:val="005A44A7"/>
    <w:rsid w:val="005B6866"/>
    <w:rsid w:val="00604DA9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99732C"/>
    <w:rsid w:val="00A46A8A"/>
    <w:rsid w:val="00AC76FB"/>
    <w:rsid w:val="00B055ED"/>
    <w:rsid w:val="00B919BA"/>
    <w:rsid w:val="00C52516"/>
    <w:rsid w:val="00C61F2E"/>
    <w:rsid w:val="00C73AF2"/>
    <w:rsid w:val="00C87C3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1C2FD-DEE1-4B37-A50C-5CAFD2F7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18</cp:revision>
  <dcterms:created xsi:type="dcterms:W3CDTF">2022-01-26T10:04:00Z</dcterms:created>
  <dcterms:modified xsi:type="dcterms:W3CDTF">2025-03-25T10:30:00Z</dcterms:modified>
</cp:coreProperties>
</file>