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Успешно реализованные</w:t>
      </w:r>
      <w:r>
        <w:rPr>
          <w:b/>
          <w:sz w:val="36"/>
          <w:szCs w:val="36"/>
        </w:rPr>
        <w:t xml:space="preserve"> и з</w:t>
      </w:r>
      <w:r>
        <w:rPr>
          <w:b/>
          <w:sz w:val="36"/>
          <w:szCs w:val="36"/>
        </w:rPr>
        <w:t xml:space="preserve">акрытые проекты</w:t>
      </w:r>
      <w:r>
        <w:rPr>
          <w:b/>
          <w:sz w:val="36"/>
          <w:szCs w:val="36"/>
        </w:rPr>
      </w:r>
      <w:r/>
    </w:p>
    <w:p>
      <w:pPr>
        <w:pStyle w:val="878"/>
        <w:jc w:val="center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</w:rPr>
        <w:t xml:space="preserve"> Всего </w:t>
      </w:r>
      <w:r>
        <w:rPr>
          <w:b/>
          <w:sz w:val="36"/>
          <w:szCs w:val="36"/>
        </w:rPr>
        <w:t xml:space="preserve">за</w:t>
      </w:r>
      <w:r>
        <w:rPr>
          <w:b/>
          <w:sz w:val="36"/>
          <w:szCs w:val="36"/>
        </w:rPr>
        <w:t xml:space="preserve"> 2024</w:t>
      </w:r>
      <w:r>
        <w:rPr>
          <w:b/>
          <w:sz w:val="36"/>
          <w:szCs w:val="36"/>
        </w:rPr>
        <w:t xml:space="preserve"> года</w:t>
      </w:r>
      <w:r>
        <w:rPr>
          <w:b/>
          <w:sz w:val="36"/>
          <w:szCs w:val="36"/>
        </w:rPr>
        <w:t xml:space="preserve"> закрыто </w:t>
      </w:r>
      <w:r>
        <w:rPr>
          <w:b/>
          <w:sz w:val="36"/>
          <w:szCs w:val="36"/>
          <w:highlight w:val="none"/>
        </w:rPr>
        <w:t xml:space="preserve">16 </w:t>
      </w:r>
      <w:r>
        <w:rPr>
          <w:b/>
          <w:sz w:val="36"/>
          <w:szCs w:val="36"/>
        </w:rPr>
        <w:t xml:space="preserve">проект</w:t>
      </w:r>
      <w:r>
        <w:rPr>
          <w:b/>
          <w:sz w:val="36"/>
          <w:szCs w:val="36"/>
          <w:highlight w:val="none"/>
        </w:rPr>
        <w:t xml:space="preserve">ов</w:t>
      </w:r>
      <w:r>
        <w:rPr>
          <w:b/>
          <w:sz w:val="36"/>
          <w:szCs w:val="36"/>
          <w:highlight w:val="yellow"/>
        </w:rPr>
      </w:r>
      <w:r/>
    </w:p>
    <w:p>
      <w:pPr>
        <w:pStyle w:val="878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  <w:r/>
    </w:p>
    <w:tbl>
      <w:tblPr>
        <w:tblW w:w="15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58"/>
        <w:gridCol w:w="7570"/>
        <w:gridCol w:w="1634"/>
        <w:gridCol w:w="1768"/>
        <w:gridCol w:w="1559"/>
        <w:gridCol w:w="2131"/>
      </w:tblGrid>
      <w:tr>
        <w:trPr/>
        <w:tc>
          <w:tcPr>
            <w:tcW w:w="75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</w:t>
            </w:r>
            <w:r/>
          </w:p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п/п</w:t>
            </w:r>
            <w:r/>
          </w:p>
        </w:tc>
        <w:tc>
          <w:tcPr>
            <w:tcW w:w="757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проекта</w:t>
            </w:r>
            <w:r/>
          </w:p>
        </w:tc>
        <w:tc>
          <w:tcPr>
            <w:tcW w:w="163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Сумма</w:t>
            </w:r>
            <w:r/>
          </w:p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(тыс. руб.)</w:t>
            </w:r>
            <w:r/>
          </w:p>
        </w:tc>
        <w:tc>
          <w:tcPr>
            <w:tcW w:w="17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Факт сумма (тыс.руб.) 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Уровень</w:t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сложности</w:t>
            </w:r>
            <w:r/>
          </w:p>
        </w:tc>
        <w:tc>
          <w:tcPr>
            <w:tcW w:w="213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Уровень</w:t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87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успешности</w:t>
            </w:r>
            <w:r>
              <w:rPr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gridSpan w:val="6"/>
            <w:shd w:val="clear" w:color="auto" w:fill="e36c0a"/>
            <w:tcW w:w="15420" w:type="dxa"/>
            <w:vAlign w:val="top"/>
            <w:textDirection w:val="lrTb"/>
            <w:noWrap w:val="false"/>
          </w:tcPr>
          <w:p>
            <w:pPr>
              <w:pStyle w:val="878"/>
              <w:ind w:firstLine="814"/>
              <w:tabs>
                <w:tab w:val="center" w:pos="8136" w:leader="none"/>
                <w:tab w:val="right" w:pos="15660" w:leader="none"/>
              </w:tabs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 xml:space="preserve">1 квартал 202</w:t>
            </w:r>
            <w:r>
              <w:rPr>
                <w:b/>
                <w:color w:val="000000"/>
                <w:sz w:val="28"/>
                <w:szCs w:val="28"/>
              </w:rPr>
              <w:t xml:space="preserve">4 г</w:t>
            </w:r>
            <w:r>
              <w:rPr>
                <w:b/>
                <w:color w:val="000000"/>
                <w:sz w:val="28"/>
                <w:szCs w:val="28"/>
              </w:rPr>
              <w:t xml:space="preserve">ода </w:t>
            </w: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</w:rPr>
              <w:t xml:space="preserve">4 проекта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6"/>
            <w:tcW w:w="1542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муниципальных  закупок управления экономического развития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5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570" w:type="dxa"/>
            <w:vAlign w:val="top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«Оптимизация процесса организации проведения конкурентных закупочных процедур на территории Ракитянского района»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3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,0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(прочие ден. сред.)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4,8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(прочие ден. сред.)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6"/>
            <w:tcW w:w="1542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проектного управления администрации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5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570" w:type="dxa"/>
            <w:vAlign w:val="top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технологий сервис-дизайна на территории Ракитянского района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3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25,0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бюджет)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Выше среднего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6"/>
            <w:tcW w:w="15420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МКУ «Управление культуры Ракитянского района»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75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57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оздоровительно-экскурсионного тура на территории Ракитянского района «Тур для стройных фигур»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34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  <w:t xml:space="preserve">Управление физической культуры, спорта и молодежной политики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спортивно-интеллектуального центра «Снежный БУМ» для  популяризации зимних видов спорта среди жителей Ракитянского района»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100,0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бюджет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83,8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местный бюджет)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98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hd w:val="clear" w:color="e16a0a" w:themeColor="accent6" w:themeShade="BF" w:fill="e16a0a" w:themeFill="accent6" w:themeFillShade="B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2 квартал 2024 года-2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39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Управление социальной защиты населения администрации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«Создание в Ракитянском районе комплексной системы мер по поддержке семей с детьми участников СВО»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1050,0 из них: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-400,0 фед.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-500,0 обл.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150,0 мест.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1050,0 из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них: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-304,0 фед.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-596,0 обл.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150,0 мест.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0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Управление образования администрации района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единой системы профориентации и наставничества в  образовательных учреждениях Ракитянского района «Открывая горизонт  будущего»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520,0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областной бюджет)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520,0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из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них: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362,6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л.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-157,4  прочие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15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shd w:val="clear" w:color="e16a0a" w:themeColor="accent6" w:themeShade="BF" w:fill="e16a0a" w:themeFill="accent6" w:themeFillShade="BF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3, 4 квартал 2024 года -10 проектов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273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Управление социальной защиты населения администрации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  <w:t xml:space="preserve">«Оптимизация процесса подготовки социального паспорта семьи участника  специальной военной операции, проживающего в Ракитянском районе»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6,0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областной бюджет)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6,0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областной бюджет)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«Внедрение комплекса мер по повышению статуса и профессиональных компетенций социальных работников и помощников по уходу Ракитянского района»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425,0 из них: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360,0-обл. бюджет, 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-65,0-прочие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363,9 из них: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345,4-обл. бюджет, 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-18,5-прочие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407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МКУ «Управление строительства и ЖКХ Ракитянского района»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ind w:left="120" w:right="120" w:firstLine="0"/>
              <w:spacing w:before="120" w:after="120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«Благоустройство дворовых территорий многоквартирных домов  на территории Ракитянского района»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t xml:space="preserve">24853,47, из них: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-7500,0 обл. бюджет,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-17114,47 мест.бюджет,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-239,0 прочие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24853,47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, из них: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7500,0 обл.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-17114,47 мест. бюджет,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-239,0 прочие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«Безопасные и качественные дороги для населения Ракитянского района»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105427,619, из них: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74994,88-обл. бюджет,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-30432,739 мест. бюджет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85624,01, из них: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-74994,89-обл. бюджет,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-10629,12 мест. бюджет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Управление экономического развития  администрации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«Оптимизация процесса организации и проведения ярмарочных мероприятий на территории Ракитянского района»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10,0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(средства хоз. субъекта)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10,0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(средства хоз. субъекта)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«Создание механизма, направленного на финансовую поддержку из районного бюджета начинающим субъектам МСП на территории Ракитянского района»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900,0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900,0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Управление физической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«Создание интерактивного информационного ресурса «НашСпорт»  о работе спортивных объектов Ракитянского района»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480,0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280,06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«Создание механизма по обучению молодежи медиа направлению «Молодость-это мы!» на территории Ракитянского района»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300,0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  <w:r/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179,12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gridSpan w:val="6"/>
            <w:tcW w:w="15420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МКУ «Управление культуры Ракитянского района»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pPr>
              <w:ind w:left="0" w:right="120" w:firstLine="0"/>
              <w:spacing w:before="120" w:after="120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«Формирование гражданско-патриотических и семейных ценностей у детей и  подростков  «Культурный код семьи – культурный код России»</w:t>
            </w:r>
            <w:r>
              <w:rPr>
                <w:rFonts w:ascii="PT Astra Serif" w:hAnsi="PT Astra Serif" w:cs="PT Astra Serif"/>
                <w:szCs w:val="24"/>
              </w:rPr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350,0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(прочие)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142,208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(прочие)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07"/>
        </w:trPr>
        <w:tc>
          <w:tcPr>
            <w:tcW w:w="75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/>
          </w:p>
        </w:tc>
        <w:tc>
          <w:tcPr>
            <w:tcW w:w="7570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PT Astra Serif" w:hAnsi="PT Astra Serif" w:cs="PT Astra Serif"/>
                <w:sz w:val="24"/>
                <w:szCs w:val="24"/>
              </w:rPr>
              <w:t xml:space="preserve">«Оптимизация процесса подготовки мероприятия в рамках  федерального проекта «Пушкинская карта»</w:t>
            </w:r>
            <w:r/>
          </w:p>
        </w:tc>
        <w:tc>
          <w:tcPr>
            <w:tcW w:w="1634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100,0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17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75,935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(местный бюджет)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</w:rPr>
              <w:t xml:space="preserve">Высокий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3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 xml:space="preserve">Без отклонений (100%)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2"/>
            <w:shd w:val="clear" w:color="auto" w:fill="92d050"/>
            <w:tcW w:w="8328" w:type="dxa"/>
            <w:vAlign w:val="top"/>
            <w:textDirection w:val="lrTb"/>
            <w:noWrap w:val="false"/>
          </w:tcPr>
          <w:p>
            <w:pPr>
              <w:pStyle w:val="878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92d050"/>
            <w:tcW w:w="1634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134 652,08</w:t>
            </w:r>
            <w:r>
              <w:rPr>
                <w:b/>
                <w:bCs/>
              </w:rPr>
            </w:r>
          </w:p>
        </w:tc>
        <w:tc>
          <w:tcPr>
            <w:shd w:val="clear" w:color="auto" w:fill="92d050"/>
            <w:tcW w:w="1768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114 093,3</w:t>
            </w:r>
            <w:r>
              <w:rPr>
                <w:b/>
                <w:bCs/>
              </w:rPr>
            </w:r>
          </w:p>
        </w:tc>
        <w:tc>
          <w:tcPr>
            <w:shd w:val="clear" w:color="auto" w:fill="92d050"/>
            <w:tcW w:w="155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92d050"/>
            <w:tcW w:w="213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78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78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Начальник отдела </w:t>
      </w:r>
      <w:r>
        <w:rPr>
          <w:highlight w:val="white"/>
        </w:rPr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проектного управления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С.И. Гречух</w:t>
      </w:r>
      <w:r>
        <w:rPr>
          <w:b/>
          <w:sz w:val="28"/>
          <w:szCs w:val="28"/>
        </w:rPr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Портфель</w:t>
      </w:r>
      <w:r>
        <w:rPr>
          <w:b/>
          <w:sz w:val="28"/>
          <w:szCs w:val="28"/>
        </w:rPr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Начальный – </w:t>
      </w:r>
      <w:r>
        <w:rPr>
          <w:b/>
          <w:sz w:val="28"/>
          <w:szCs w:val="28"/>
        </w:rPr>
        <w:t xml:space="preserve">0</w:t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Средний –   0</w:t>
      </w:r>
      <w:r>
        <w:rPr>
          <w:b/>
          <w:sz w:val="28"/>
          <w:szCs w:val="28"/>
        </w:rPr>
      </w:r>
      <w:r/>
    </w:p>
    <w:p>
      <w:pPr>
        <w:pStyle w:val="8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Выше среднего – </w:t>
      </w:r>
      <w:r>
        <w:rPr>
          <w:b/>
          <w:sz w:val="28"/>
          <w:szCs w:val="28"/>
        </w:rPr>
        <w:t xml:space="preserve">1</w:t>
      </w:r>
      <w:r/>
    </w:p>
    <w:p>
      <w:pPr>
        <w:pStyle w:val="87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Высокий - </w:t>
      </w:r>
      <w:r>
        <w:rPr>
          <w:b/>
          <w:sz w:val="28"/>
          <w:szCs w:val="28"/>
          <w:lang w:val="en-US"/>
        </w:rPr>
        <w:t xml:space="preserve">15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yrillicHeavy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character" w:styleId="879">
    <w:name w:val="Основной шрифт абзаца"/>
    <w:next w:val="879"/>
    <w:link w:val="878"/>
    <w:semiHidden/>
  </w:style>
  <w:style w:type="table" w:styleId="880">
    <w:name w:val="Обычная таблица"/>
    <w:next w:val="880"/>
    <w:link w:val="878"/>
    <w:semiHidden/>
    <w:tblPr/>
  </w:style>
  <w:style w:type="numbering" w:styleId="881">
    <w:name w:val="Нет списка"/>
    <w:next w:val="881"/>
    <w:link w:val="878"/>
    <w:semiHidden/>
  </w:style>
  <w:style w:type="table" w:styleId="882">
    <w:name w:val="Сетка таблицы"/>
    <w:basedOn w:val="880"/>
    <w:next w:val="882"/>
    <w:link w:val="878"/>
    <w:tblPr/>
  </w:style>
  <w:style w:type="character" w:styleId="883">
    <w:name w:val="value-span"/>
    <w:basedOn w:val="879"/>
    <w:next w:val="883"/>
    <w:link w:val="878"/>
  </w:style>
  <w:style w:type="paragraph" w:styleId="884">
    <w:name w:val="Текст выноски"/>
    <w:basedOn w:val="878"/>
    <w:next w:val="884"/>
    <w:link w:val="885"/>
    <w:rPr>
      <w:rFonts w:ascii="Tahoma" w:hAnsi="Tahoma" w:cs="Tahoma"/>
      <w:sz w:val="16"/>
      <w:szCs w:val="16"/>
    </w:rPr>
  </w:style>
  <w:style w:type="character" w:styleId="885">
    <w:name w:val="Текст выноски Знак"/>
    <w:basedOn w:val="879"/>
    <w:next w:val="885"/>
    <w:link w:val="884"/>
    <w:rPr>
      <w:rFonts w:ascii="Tahoma" w:hAnsi="Tahoma" w:cs="Tahoma"/>
      <w:sz w:val="16"/>
      <w:szCs w:val="16"/>
    </w:rPr>
  </w:style>
  <w:style w:type="paragraph" w:styleId="886">
    <w:name w:val="Название"/>
    <w:basedOn w:val="878"/>
    <w:next w:val="886"/>
    <w:link w:val="878"/>
    <w:qFormat/>
    <w:pPr>
      <w:jc w:val="center"/>
      <w:spacing w:line="360" w:lineRule="auto"/>
    </w:pPr>
    <w:rPr>
      <w:rFonts w:ascii="CyrillicHeavy" w:hAnsi="CyrillicHeavy"/>
      <w:sz w:val="32"/>
      <w:szCs w:val="20"/>
    </w:rPr>
  </w:style>
  <w:style w:type="character" w:styleId="887">
    <w:name w:val="Гиперссылка"/>
    <w:basedOn w:val="879"/>
    <w:next w:val="887"/>
    <w:link w:val="878"/>
    <w:uiPriority w:val="99"/>
    <w:unhideWhenUsed/>
    <w:rPr>
      <w:color w:val="0000ff"/>
      <w:u w:val="single"/>
    </w:rPr>
  </w:style>
  <w:style w:type="paragraph" w:styleId="888">
    <w:name w:val="Верхний колонтитул"/>
    <w:basedOn w:val="878"/>
    <w:next w:val="888"/>
    <w:link w:val="889"/>
    <w:pPr>
      <w:tabs>
        <w:tab w:val="center" w:pos="4677" w:leader="none"/>
        <w:tab w:val="right" w:pos="9355" w:leader="none"/>
      </w:tabs>
    </w:pPr>
  </w:style>
  <w:style w:type="character" w:styleId="889">
    <w:name w:val="Верхний колонтитул Знак"/>
    <w:basedOn w:val="879"/>
    <w:next w:val="889"/>
    <w:link w:val="888"/>
    <w:rPr>
      <w:sz w:val="24"/>
      <w:szCs w:val="24"/>
    </w:rPr>
  </w:style>
  <w:style w:type="paragraph" w:styleId="890">
    <w:name w:val="Нижний колонтитул"/>
    <w:basedOn w:val="878"/>
    <w:next w:val="890"/>
    <w:link w:val="891"/>
    <w:pPr>
      <w:tabs>
        <w:tab w:val="center" w:pos="4677" w:leader="none"/>
        <w:tab w:val="right" w:pos="9355" w:leader="none"/>
      </w:tabs>
    </w:pPr>
  </w:style>
  <w:style w:type="character" w:styleId="891">
    <w:name w:val="Нижний колонтитул Знак"/>
    <w:basedOn w:val="879"/>
    <w:next w:val="891"/>
    <w:link w:val="890"/>
    <w:rPr>
      <w:sz w:val="24"/>
      <w:szCs w:val="24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стратегического развития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Закрытые проекты:</dc:title>
  <dc:creator>Управление</dc:creator>
  <cp:revision>1045</cp:revision>
  <dcterms:created xsi:type="dcterms:W3CDTF">2020-11-27T05:40:00Z</dcterms:created>
  <dcterms:modified xsi:type="dcterms:W3CDTF">2024-12-20T11:56:30Z</dcterms:modified>
  <cp:version>786432</cp:version>
</cp:coreProperties>
</file>